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ÉTAT DES PERTES MOYENNES — CA ET MARGES BRUTES (R. BOUTIN S.A ↔ TI)</w:t>
      </w:r>
    </w:p>
    <w:p>
      <w:r>
        <w:t>Période de référence CA : 2002–2009  •  Taux de marge brute retenu : 65 %  •  Usage : chiffrage du préjudice sur durée de préavis</w:t>
      </w:r>
    </w:p>
    <w:p>
      <w:r>
        <w:rPr>
          <w:b/>
        </w:rPr>
        <w:t>Hypothèses et formule</w:t>
      </w:r>
    </w:p>
    <w:p>
      <w:r>
        <w:t>• Hypothèses : relation établie avec TI, moyenne de CA 2002–2009 comme base; préavis exprimé en mois; marge brute 65 %.</w:t>
      </w:r>
    </w:p>
    <w:p>
      <w:r>
        <w:t>• Formule : Perte de marge = moyenne_CA × (Préavis/12) × taux_marge.</w:t>
      </w:r>
    </w:p>
    <w:p>
      <w:r>
        <w:rPr>
          <w:b/>
        </w:rPr>
        <w:t>Résultats — scénarios de préavis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>
              <w:t>Préavis (mois)</w:t>
            </w:r>
          </w:p>
        </w:tc>
        <w:tc>
          <w:tcPr>
            <w:tcW w:type="dxa" w:w="1425"/>
          </w:tcPr>
          <w:p>
            <w:r>
              <w:t>Moyenne CA base (2002–2009) [M€]</w:t>
            </w:r>
          </w:p>
        </w:tc>
        <w:tc>
          <w:tcPr>
            <w:tcW w:type="dxa" w:w="1425"/>
          </w:tcPr>
          <w:p>
            <w:r>
              <w:t>Base indemnitaire (CA × N/12) [M€]</w:t>
            </w:r>
          </w:p>
        </w:tc>
        <w:tc>
          <w:tcPr>
            <w:tcW w:type="dxa" w:w="1425"/>
          </w:tcPr>
          <w:p>
            <w:r>
              <w:t>Taux marge brute</w:t>
            </w:r>
          </w:p>
        </w:tc>
        <w:tc>
          <w:tcPr>
            <w:tcW w:type="dxa" w:w="1425"/>
          </w:tcPr>
          <w:p>
            <w:r>
              <w:t>Perte de marge estimée [M€]</w:t>
            </w:r>
          </w:p>
        </w:tc>
        <w:tc>
          <w:tcPr>
            <w:tcW w:type="dxa" w:w="1425"/>
          </w:tcPr>
          <w:p>
            <w:r>
              <w:t>Perte de marge estimée [€]</w:t>
            </w:r>
          </w:p>
        </w:tc>
        <w:tc>
          <w:tcPr>
            <w:tcW w:type="dxa" w:w="1425"/>
          </w:tcPr>
          <w:p>
            <w:r>
              <w:t>Formule</w:t>
            </w:r>
          </w:p>
        </w:tc>
      </w:tr>
      <w:tr>
        <w:tc>
          <w:tcPr>
            <w:tcW w:type="dxa" w:w="1425"/>
          </w:tcPr>
          <w:p>
            <w:r>
              <w:t>12</w:t>
            </w:r>
          </w:p>
        </w:tc>
        <w:tc>
          <w:tcPr>
            <w:tcW w:type="dxa" w:w="1425"/>
          </w:tcPr>
          <w:p>
            <w:r>
              <w:t>2.916</w:t>
            </w:r>
          </w:p>
        </w:tc>
        <w:tc>
          <w:tcPr>
            <w:tcW w:type="dxa" w:w="1425"/>
          </w:tcPr>
          <w:p>
            <w:r>
              <w:t>2.916</w:t>
            </w:r>
          </w:p>
        </w:tc>
        <w:tc>
          <w:tcPr>
            <w:tcW w:type="dxa" w:w="1425"/>
          </w:tcPr>
          <w:p>
            <w:r>
              <w:t>65%</w:t>
            </w:r>
          </w:p>
        </w:tc>
        <w:tc>
          <w:tcPr>
            <w:tcW w:type="dxa" w:w="1425"/>
          </w:tcPr>
          <w:p>
            <w:r>
              <w:t>1.895</w:t>
            </w:r>
          </w:p>
        </w:tc>
        <w:tc>
          <w:tcPr>
            <w:tcW w:type="dxa" w:w="1425"/>
          </w:tcPr>
          <w:p>
            <w:r>
              <w:t>1895400</w:t>
            </w:r>
          </w:p>
        </w:tc>
        <w:tc>
          <w:tcPr>
            <w:tcW w:type="dxa" w:w="1425"/>
          </w:tcPr>
          <w:p>
            <w:r>
              <w:t>moyenne_CA * (N/12) * 0.65</w:t>
            </w:r>
          </w:p>
        </w:tc>
      </w:tr>
      <w:tr>
        <w:tc>
          <w:tcPr>
            <w:tcW w:type="dxa" w:w="1425"/>
          </w:tcPr>
          <w:p>
            <w:r>
              <w:t>18</w:t>
            </w:r>
          </w:p>
        </w:tc>
        <w:tc>
          <w:tcPr>
            <w:tcW w:type="dxa" w:w="1425"/>
          </w:tcPr>
          <w:p>
            <w:r>
              <w:t>2.916</w:t>
            </w:r>
          </w:p>
        </w:tc>
        <w:tc>
          <w:tcPr>
            <w:tcW w:type="dxa" w:w="1425"/>
          </w:tcPr>
          <w:p>
            <w:r>
              <w:t>4.374</w:t>
            </w:r>
          </w:p>
        </w:tc>
        <w:tc>
          <w:tcPr>
            <w:tcW w:type="dxa" w:w="1425"/>
          </w:tcPr>
          <w:p>
            <w:r>
              <w:t>65%</w:t>
            </w:r>
          </w:p>
        </w:tc>
        <w:tc>
          <w:tcPr>
            <w:tcW w:type="dxa" w:w="1425"/>
          </w:tcPr>
          <w:p>
            <w:r>
              <w:t>2.843</w:t>
            </w:r>
          </w:p>
        </w:tc>
        <w:tc>
          <w:tcPr>
            <w:tcW w:type="dxa" w:w="1425"/>
          </w:tcPr>
          <w:p>
            <w:r>
              <w:t>2843099</w:t>
            </w:r>
          </w:p>
        </w:tc>
        <w:tc>
          <w:tcPr>
            <w:tcW w:type="dxa" w:w="1425"/>
          </w:tcPr>
          <w:p>
            <w:r>
              <w:t>moyenne_CA * (N/12) * 0.65</w:t>
            </w:r>
          </w:p>
        </w:tc>
      </w:tr>
      <w:tr>
        <w:tc>
          <w:tcPr>
            <w:tcW w:type="dxa" w:w="1425"/>
          </w:tcPr>
          <w:p>
            <w:r>
              <w:t>24</w:t>
            </w:r>
          </w:p>
        </w:tc>
        <w:tc>
          <w:tcPr>
            <w:tcW w:type="dxa" w:w="1425"/>
          </w:tcPr>
          <w:p>
            <w:r>
              <w:t>2.916</w:t>
            </w:r>
          </w:p>
        </w:tc>
        <w:tc>
          <w:tcPr>
            <w:tcW w:type="dxa" w:w="1425"/>
          </w:tcPr>
          <w:p>
            <w:r>
              <w:t>5.832</w:t>
            </w:r>
          </w:p>
        </w:tc>
        <w:tc>
          <w:tcPr>
            <w:tcW w:type="dxa" w:w="1425"/>
          </w:tcPr>
          <w:p>
            <w:r>
              <w:t>65%</w:t>
            </w:r>
          </w:p>
        </w:tc>
        <w:tc>
          <w:tcPr>
            <w:tcW w:type="dxa" w:w="1425"/>
          </w:tcPr>
          <w:p>
            <w:r>
              <w:t>3.791</w:t>
            </w:r>
          </w:p>
        </w:tc>
        <w:tc>
          <w:tcPr>
            <w:tcW w:type="dxa" w:w="1425"/>
          </w:tcPr>
          <w:p>
            <w:r>
              <w:t>3790800</w:t>
            </w:r>
          </w:p>
        </w:tc>
        <w:tc>
          <w:tcPr>
            <w:tcW w:type="dxa" w:w="1425"/>
          </w:tcPr>
          <w:p>
            <w:r>
              <w:t>moyenne_CA * (N/12) * 0.65</w:t>
            </w:r>
          </w:p>
        </w:tc>
      </w:tr>
    </w:tbl>
    <w:p/>
    <w:p>
      <w:r>
        <w:t>Note: moyenne CA 1998–2009 calculée à partir de la série synthétique ≈ 2.652 M€; moyenne 2002–2009 ≈ 2.916 M€. La base utilisée ici est 2002–2009, cohérente avec les pratiques relevées.</w:t>
      </w:r>
    </w:p>
    <w:p>
      <w:r>
        <w:t>Références internes: méthode exposée en pièce dédiée (p.57), débats sur le taux de 65 % (p.9, p.32–33).</w:t>
      </w:r>
    </w:p>
    <w:p>
      <w:r>
        <w:t>Fichier de calculs: /mnt/data/Etat_pertes_moyennes_CA_marge_preavis.csv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