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</w:rPr>
        <w:t>RÉPUBLIQUE FRANÇAISE</w:t>
        <w:br/>
        <w:t>MINISTÈRE DE LA JUSTICE</w:t>
      </w:r>
    </w:p>
    <w:p>
      <w:pPr>
        <w:jc w:val="center"/>
      </w:pPr>
      <w:r>
        <w:rPr>
          <w:b/>
        </w:rPr>
        <w:t>GREFFE DU TRIBUNAL DE COMMERCE DE ANGOULÊME</w:t>
      </w:r>
    </w:p>
    <w:p>
      <w:pPr>
        <w:jc w:val="center"/>
      </w:pPr>
      <w:r>
        <w:rPr>
          <w:b/>
          <w:sz w:val="32"/>
        </w:rPr>
        <w:t>EXTRAIT K‑BIS</w:t>
      </w:r>
    </w:p>
    <w:p>
      <w:r>
        <w:rPr>
          <w:b/>
        </w:rPr>
        <w:t>————————————————————————————————————————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sz w:val="20"/>
              </w:rPr>
              <w:t>1. Dénomination</w:t>
            </w:r>
          </w:p>
        </w:tc>
        <w:tc>
          <w:tcPr>
            <w:tcW w:type="dxa" w:w="5156"/>
          </w:tcPr>
          <w:p>
            <w:pPr>
              <w:spacing w:before="0" w:after="40"/>
            </w:pPr>
            <w:r>
              <w:rPr>
                <w:rFonts w:ascii="Calibri" w:hAnsi="Calibri"/>
                <w:sz w:val="20"/>
              </w:rPr>
              <w:t>R. BOUTIN S.A</w:t>
            </w:r>
          </w:p>
        </w:tc>
      </w:tr>
      <w:tr>
        <w:tc>
          <w:tcPr>
            <w:tcW w:type="dxa" w:w="5156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sz w:val="20"/>
              </w:rPr>
              <w:t>2. Forme juridique</w:t>
            </w:r>
          </w:p>
        </w:tc>
        <w:tc>
          <w:tcPr>
            <w:tcW w:type="dxa" w:w="5156"/>
          </w:tcPr>
          <w:p>
            <w:pPr>
              <w:spacing w:before="0" w:after="40"/>
            </w:pPr>
            <w:r>
              <w:rPr>
                <w:rFonts w:ascii="Calibri" w:hAnsi="Calibri"/>
                <w:sz w:val="20"/>
              </w:rPr>
              <w:t>Société Anonyme à Conseil d'administration</w:t>
            </w:r>
          </w:p>
        </w:tc>
      </w:tr>
      <w:tr>
        <w:tc>
          <w:tcPr>
            <w:tcW w:type="dxa" w:w="5156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sz w:val="20"/>
              </w:rPr>
              <w:t>3. Capital social</w:t>
            </w:r>
          </w:p>
        </w:tc>
        <w:tc>
          <w:tcPr>
            <w:tcW w:type="dxa" w:w="5156"/>
          </w:tcPr>
          <w:p>
            <w:pPr>
              <w:spacing w:before="0" w:after="40"/>
            </w:pPr>
            <w:r>
              <w:rPr>
                <w:rFonts w:ascii="Calibri" w:hAnsi="Calibri"/>
                <w:sz w:val="20"/>
              </w:rPr>
              <w:t>1 200 000 € entièrement libéré</w:t>
            </w:r>
          </w:p>
        </w:tc>
      </w:tr>
      <w:tr>
        <w:tc>
          <w:tcPr>
            <w:tcW w:type="dxa" w:w="5156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sz w:val="20"/>
              </w:rPr>
              <w:t>4. Siège social</w:t>
            </w:r>
          </w:p>
        </w:tc>
        <w:tc>
          <w:tcPr>
            <w:tcW w:type="dxa" w:w="5156"/>
          </w:tcPr>
          <w:p>
            <w:pPr>
              <w:spacing w:before="0" w:after="40"/>
            </w:pPr>
            <w:r>
              <w:rPr>
                <w:rFonts w:ascii="Calibri" w:hAnsi="Calibri"/>
                <w:sz w:val="20"/>
              </w:rPr>
              <w:t>ZI n°3 – 16160 Gond‑Pontouvre, France</w:t>
            </w:r>
          </w:p>
        </w:tc>
      </w:tr>
      <w:tr>
        <w:tc>
          <w:tcPr>
            <w:tcW w:type="dxa" w:w="5156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sz w:val="20"/>
              </w:rPr>
              <w:t>5. Numéro d'identification</w:t>
            </w:r>
          </w:p>
        </w:tc>
        <w:tc>
          <w:tcPr>
            <w:tcW w:type="dxa" w:w="5156"/>
          </w:tcPr>
          <w:p>
            <w:pPr>
              <w:spacing w:before="0" w:after="40"/>
            </w:pPr>
            <w:r>
              <w:rPr>
                <w:rFonts w:ascii="Calibri" w:hAnsi="Calibri"/>
                <w:sz w:val="20"/>
              </w:rPr>
              <w:t>SIREN 334 896 388 – RCS Angoulême 334 896 388</w:t>
            </w:r>
          </w:p>
        </w:tc>
      </w:tr>
      <w:tr>
        <w:tc>
          <w:tcPr>
            <w:tcW w:type="dxa" w:w="5156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sz w:val="20"/>
              </w:rPr>
              <w:t>6. Code NAF/APE</w:t>
            </w:r>
          </w:p>
        </w:tc>
        <w:tc>
          <w:tcPr>
            <w:tcW w:type="dxa" w:w="5156"/>
          </w:tcPr>
          <w:p>
            <w:pPr>
              <w:spacing w:before="0" w:after="40"/>
            </w:pPr>
            <w:r>
              <w:rPr>
                <w:rFonts w:ascii="Calibri" w:hAnsi="Calibri"/>
                <w:sz w:val="20"/>
              </w:rPr>
              <w:t>4672Z Commerce de gros (commerce interentreprises) de métaux et minerais</w:t>
            </w:r>
          </w:p>
        </w:tc>
      </w:tr>
      <w:tr>
        <w:tc>
          <w:tcPr>
            <w:tcW w:type="dxa" w:w="5156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sz w:val="20"/>
              </w:rPr>
              <w:t>7. Objet social</w:t>
            </w:r>
          </w:p>
        </w:tc>
        <w:tc>
          <w:tcPr>
            <w:tcW w:type="dxa" w:w="5156"/>
          </w:tcPr>
          <w:p>
            <w:pPr>
              <w:spacing w:before="0" w:after="40"/>
            </w:pPr>
            <w:r>
              <w:rPr>
                <w:rFonts w:ascii="Calibri" w:hAnsi="Calibri"/>
                <w:sz w:val="20"/>
              </w:rPr>
              <w:t>Achat, vente, négoce et transformation de produits métallurgiques; toutes opérations se rattachant directement ou indirectement à cet objet.</w:t>
            </w:r>
          </w:p>
        </w:tc>
      </w:tr>
      <w:tr>
        <w:tc>
          <w:tcPr>
            <w:tcW w:type="dxa" w:w="5156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sz w:val="20"/>
              </w:rPr>
              <w:t>8. Durée de la société</w:t>
            </w:r>
          </w:p>
        </w:tc>
        <w:tc>
          <w:tcPr>
            <w:tcW w:type="dxa" w:w="5156"/>
          </w:tcPr>
          <w:p>
            <w:pPr>
              <w:spacing w:before="0" w:after="40"/>
            </w:pPr>
            <w:r>
              <w:rPr>
                <w:rFonts w:ascii="Calibri" w:hAnsi="Calibri"/>
                <w:sz w:val="20"/>
              </w:rPr>
              <w:t>99 ans à compter de l'immatriculation</w:t>
            </w:r>
          </w:p>
        </w:tc>
      </w:tr>
      <w:tr>
        <w:tc>
          <w:tcPr>
            <w:tcW w:type="dxa" w:w="5156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sz w:val="20"/>
              </w:rPr>
              <w:t>9. Date d'immatriculation</w:t>
            </w:r>
          </w:p>
        </w:tc>
        <w:tc>
          <w:tcPr>
            <w:tcW w:type="dxa" w:w="5156"/>
          </w:tcPr>
          <w:p>
            <w:pPr>
              <w:spacing w:before="0" w:after="40"/>
            </w:pPr>
            <w:r>
              <w:rPr>
                <w:rFonts w:ascii="Calibri" w:hAnsi="Calibri"/>
                <w:sz w:val="20"/>
              </w:rPr>
              <w:t>12/03/1986</w:t>
            </w:r>
          </w:p>
        </w:tc>
      </w:tr>
      <w:tr>
        <w:tc>
          <w:tcPr>
            <w:tcW w:type="dxa" w:w="5156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sz w:val="20"/>
              </w:rPr>
              <w:t>10. Existence d'établissements</w:t>
            </w:r>
          </w:p>
        </w:tc>
        <w:tc>
          <w:tcPr>
            <w:tcW w:type="dxa" w:w="5156"/>
          </w:tcPr>
          <w:p>
            <w:pPr>
              <w:spacing w:before="0" w:after="40"/>
            </w:pPr>
            <w:r>
              <w:rPr>
                <w:rFonts w:ascii="Calibri" w:hAnsi="Calibri"/>
                <w:sz w:val="20"/>
              </w:rPr>
              <w:t>Siège et 1 établissement secondaire déclaré</w:t>
            </w:r>
          </w:p>
        </w:tc>
      </w:tr>
      <w:tr>
        <w:tc>
          <w:tcPr>
            <w:tcW w:type="dxa" w:w="5156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sz w:val="20"/>
              </w:rPr>
              <w:t>11. Dirigeants</w:t>
            </w:r>
          </w:p>
        </w:tc>
        <w:tc>
          <w:tcPr>
            <w:tcW w:type="dxa" w:w="5156"/>
          </w:tcPr>
          <w:p>
            <w:pPr>
              <w:spacing w:before="0" w:after="40"/>
            </w:pPr>
            <w:r>
              <w:rPr>
                <w:rFonts w:ascii="Calibri" w:hAnsi="Calibri"/>
                <w:sz w:val="20"/>
              </w:rPr>
              <w:t>Président du CA: Jean‑Marc BOUTIN; Directeur Général: Claire LAMBERT; Administrateurs: Pierre RENAUD, Sophie MARTEL</w:t>
            </w:r>
          </w:p>
        </w:tc>
      </w:tr>
      <w:tr>
        <w:tc>
          <w:tcPr>
            <w:tcW w:type="dxa" w:w="5156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sz w:val="20"/>
              </w:rPr>
              <w:t>12. Commissaire(s) aux comptes</w:t>
            </w:r>
          </w:p>
        </w:tc>
        <w:tc>
          <w:tcPr>
            <w:tcW w:type="dxa" w:w="5156"/>
          </w:tcPr>
          <w:p>
            <w:pPr>
              <w:spacing w:before="0" w:after="40"/>
            </w:pPr>
            <w:r>
              <w:rPr>
                <w:rFonts w:ascii="Calibri" w:hAnsi="Calibri"/>
                <w:sz w:val="20"/>
              </w:rPr>
              <w:t>Titulaire: Patrick PAPON; Suppléant: Cabinet A2A Audit</w:t>
            </w:r>
          </w:p>
        </w:tc>
      </w:tr>
      <w:tr>
        <w:tc>
          <w:tcPr>
            <w:tcW w:type="dxa" w:w="5156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sz w:val="20"/>
              </w:rPr>
              <w:t>13. Mentions particulières</w:t>
            </w:r>
          </w:p>
        </w:tc>
        <w:tc>
          <w:tcPr>
            <w:tcW w:type="dxa" w:w="5156"/>
          </w:tcPr>
          <w:p>
            <w:pPr>
              <w:spacing w:before="0" w:after="40"/>
            </w:pPr>
            <w:r>
              <w:rPr>
                <w:rFonts w:ascii="Calibri" w:hAnsi="Calibri"/>
                <w:sz w:val="20"/>
              </w:rPr>
              <w:t>Aucune procédure collective en cours au jour de l’extrait. Dernier acte déposé: PV AGO du 30/06/2024 (renouvellement des mandats).</w:t>
            </w:r>
          </w:p>
        </w:tc>
      </w:tr>
    </w:tbl>
    <w:p/>
    <w:p>
      <w:pPr>
        <w:jc w:val="left"/>
      </w:pPr>
      <w:r>
        <w:t>Extrait établi à Angoulême, le 10/10/2025.</w:t>
      </w:r>
    </w:p>
    <w:p>
      <w:pPr>
        <w:jc w:val="left"/>
      </w:pPr>
      <w:r>
        <w:rPr>
          <w:i/>
        </w:rPr>
        <w:t>Signature électronique du Greffier en charge du Registre du Commerce et des Sociétés.</w:t>
      </w:r>
    </w:p>
    <w:sectPr w:rsidR="00FC693F" w:rsidRPr="0006063C" w:rsidSect="00034616"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