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A365D"/>
          <w:sz w:val="72"/>
        </w:rPr>
        <w:t>NESTMATCH UAE</w:t>
      </w:r>
    </w:p>
    <w:p>
      <w:pPr>
        <w:jc w:val="center"/>
      </w:pPr>
      <w:r>
        <w:rPr>
          <w:rFonts w:ascii="Arial" w:hAnsi="Arial"/>
          <w:color w:val="2D5F8A"/>
          <w:sz w:val="44"/>
        </w:rPr>
        <w:t>Product Development Report</w:t>
      </w:r>
    </w:p>
    <w:p>
      <w:pPr>
        <w:jc w:val="center"/>
      </w:pPr>
      <w:r>
        <w:rPr>
          <w:rFonts w:ascii="Arial" w:hAnsi="Arial"/>
          <w:color w:val="4A5568"/>
          <w:sz w:val="32"/>
        </w:rPr>
        <w:t>Development Stage Signoff — v2.13.3</w:t>
      </w:r>
    </w:p>
    <w:p/>
    <w:p>
      <w:pPr>
        <w:jc w:val="center"/>
      </w:pPr>
      <w:r>
        <w:rPr>
          <w:rFonts w:ascii="Arial" w:hAnsi="Arial"/>
          <w:b/>
          <w:color w:val="4A5568"/>
          <w:sz w:val="24"/>
        </w:rPr>
        <w:t xml:space="preserve">Date:  </w:t>
      </w:r>
      <w:r>
        <w:rPr>
          <w:rFonts w:ascii="Arial" w:hAnsi="Arial"/>
          <w:sz w:val="24"/>
        </w:rPr>
        <w:t>20 March 2026</w:t>
      </w:r>
    </w:p>
    <w:p>
      <w:pPr>
        <w:jc w:val="center"/>
      </w:pPr>
      <w:r>
        <w:rPr>
          <w:rFonts w:ascii="Arial" w:hAnsi="Arial"/>
          <w:b/>
          <w:color w:val="4A5568"/>
          <w:sz w:val="24"/>
        </w:rPr>
        <w:t xml:space="preserve">Version:  </w:t>
      </w:r>
      <w:r>
        <w:rPr>
          <w:rFonts w:ascii="Arial" w:hAnsi="Arial"/>
          <w:sz w:val="24"/>
        </w:rPr>
        <w:t>v2.13.3 (Gate G6 — Pre-Demo)</w:t>
      </w:r>
    </w:p>
    <w:p>
      <w:pPr>
        <w:jc w:val="center"/>
      </w:pPr>
      <w:r>
        <w:rPr>
          <w:rFonts w:ascii="Arial" w:hAnsi="Arial"/>
          <w:b/>
          <w:color w:val="4A5568"/>
          <w:sz w:val="24"/>
        </w:rPr>
        <w:t xml:space="preserve">Prepared for:  </w:t>
      </w:r>
      <w:r>
        <w:rPr>
          <w:rFonts w:ascii="Arial" w:hAnsi="Arial"/>
          <w:sz w:val="24"/>
        </w:rPr>
        <w:t>Product Director</w:t>
      </w:r>
    </w:p>
    <w:p>
      <w:pPr>
        <w:jc w:val="center"/>
      </w:pPr>
      <w:r>
        <w:rPr>
          <w:rFonts w:ascii="Arial" w:hAnsi="Arial"/>
          <w:b/>
          <w:color w:val="4A5568"/>
          <w:sz w:val="24"/>
        </w:rPr>
        <w:t xml:space="preserve">Status:  </w:t>
      </w:r>
      <w:r>
        <w:rPr>
          <w:rFonts w:ascii="Arial" w:hAnsi="Arial"/>
          <w:b/>
          <w:color w:val="16A34A"/>
          <w:sz w:val="24"/>
        </w:rPr>
        <w:t>READY FOR SIGNOFF</w:t>
      </w:r>
    </w:p>
    <w:p/>
    <w:p/>
    <w:p/>
    <w:p/>
    <w:p/>
    <w:p/>
    <w:p>
      <w:pPr>
        <w:jc w:val="center"/>
      </w:pPr>
      <w:r>
        <w:rPr>
          <w:rFonts w:ascii="Arial" w:hAnsi="Arial"/>
          <w:b/>
          <w:color w:val="DC2626"/>
          <w:sz w:val="20"/>
        </w:rPr>
        <w:t>CONFIDENTIAL</w:t>
      </w:r>
    </w:p>
    <w:p>
      <w:pPr>
        <w:jc w:val="center"/>
      </w:pPr>
      <w:r>
        <w:rPr>
          <w:rFonts w:ascii="Arial" w:hAnsi="Arial"/>
          <w:color w:val="6B7280"/>
          <w:sz w:val="18"/>
        </w:rPr>
        <w:t>NestMatch UAE — Compliance-First Property Discovery Platform</w:t>
      </w:r>
    </w:p>
    <w:p>
      <w:r>
        <w:br w:type="page"/>
      </w:r>
    </w:p>
    <w:p>
      <w:pPr>
        <w:pStyle w:val="Heading1"/>
      </w:pPr>
      <w:r>
        <w:t>1. Executive Summary</w:t>
      </w:r>
    </w:p>
    <w:p>
      <w:r>
        <w:t>NestMatch UAE is a compliance-first property discovery platform purpose-built for Dubai’s shared housing market. The platform enables tenants to discover verified room listings, complete identity verification via UAE PASS, sign DLD-standard viewing agreements digitally, and store Ejari tenancy contracts — all without requiring RERA broker, CBUAE, or DIFC licences.</w:t>
      </w:r>
    </w:p>
    <w:p>
      <w:r>
        <w:t>Development began in March 2026 and has progressed through 24 versioned releases to the current v2.13.3. The platform is live on production infrastructure (Vercel + Cloudflare Workers) and is demo-ready for investor presentation. All compliance constraints have been maintained throughout development, and the canonical data model (15 personas, 12 properties) has been locked since Gate G3.</w:t>
      </w:r>
    </w:p>
    <w:p>
      <w:r>
        <w:t>This report serves as the formal request for development stage signoff at Gate G6 — Pre-Demo.</w:t>
      </w:r>
    </w:p>
    <w:p/>
    <w:tbl>
      <w:tblPr>
        <w:tblStyle w:val="TableGrid"/>
        <w:tblW w:type="auto" w:w="0"/>
        <w:jc w:val="center"/>
        <w:tblLook w:firstColumn="1" w:firstRow="1" w:lastColumn="0" w:lastRow="0" w:noHBand="0" w:noVBand="1" w:val="04A0"/>
      </w:tblPr>
      <w:tblGrid>
        <w:gridCol w:w="3249"/>
        <w:gridCol w:w="3249"/>
        <w:gridCol w:w="3249"/>
      </w:tblGrid>
      <w:tr>
        <w:tc>
          <w:tcPr>
            <w:tcW w:type="dxa" w:w="3118"/>
            <w:shd w:fill="1A365D" w:val="clear"/>
          </w:tcPr>
          <w:p>
            <w:pPr>
              <w:spacing w:after="0" w:before="0"/>
            </w:pPr>
            <w:r/>
            <w:r>
              <w:rPr>
                <w:rFonts w:ascii="Arial" w:hAnsi="Arial"/>
                <w:b/>
                <w:color w:val="FFFFFF"/>
                <w:sz w:val="20"/>
              </w:rPr>
              <w:t>Metric</w:t>
            </w:r>
          </w:p>
        </w:tc>
        <w:tc>
          <w:tcPr>
            <w:tcW w:type="dxa" w:w="3685"/>
            <w:shd w:fill="1A365D" w:val="clear"/>
          </w:tcPr>
          <w:p>
            <w:pPr>
              <w:spacing w:after="0" w:before="0"/>
            </w:pPr>
            <w:r/>
            <w:r>
              <w:rPr>
                <w:rFonts w:ascii="Arial" w:hAnsi="Arial"/>
                <w:b/>
                <w:color w:val="FFFFFF"/>
                <w:sz w:val="20"/>
              </w:rPr>
              <w:t>Value</w:t>
            </w:r>
          </w:p>
        </w:tc>
        <w:tc>
          <w:tcPr>
            <w:tcW w:type="dxa" w:w="2268"/>
            <w:shd w:fill="1A365D" w:val="clear"/>
          </w:tcPr>
          <w:p>
            <w:pPr>
              <w:spacing w:after="0" w:before="0"/>
            </w:pPr>
            <w:r/>
            <w:r>
              <w:rPr>
                <w:rFonts w:ascii="Arial" w:hAnsi="Arial"/>
                <w:b/>
                <w:color w:val="FFFFFF"/>
                <w:sz w:val="20"/>
              </w:rPr>
              <w:t>Status</w:t>
            </w:r>
          </w:p>
        </w:tc>
      </w:tr>
      <w:tr>
        <w:tc>
          <w:tcPr>
            <w:tcW w:type="dxa" w:w="3118"/>
          </w:tcPr>
          <w:p>
            <w:pPr>
              <w:spacing w:after="0" w:before="0"/>
            </w:pPr>
            <w:r/>
            <w:r>
              <w:rPr>
                <w:rFonts w:ascii="Arial" w:hAnsi="Arial"/>
                <w:b w:val="0"/>
                <w:sz w:val="20"/>
              </w:rPr>
              <w:t>Current Version</w:t>
            </w:r>
          </w:p>
        </w:tc>
        <w:tc>
          <w:tcPr>
            <w:tcW w:type="dxa" w:w="3685"/>
          </w:tcPr>
          <w:p>
            <w:pPr>
              <w:spacing w:after="0" w:before="0"/>
            </w:pPr>
            <w:r/>
            <w:r>
              <w:rPr>
                <w:rFonts w:ascii="Arial" w:hAnsi="Arial"/>
                <w:b w:val="0"/>
                <w:sz w:val="20"/>
              </w:rPr>
              <w:t>v2.13.3</w:t>
            </w:r>
          </w:p>
        </w:tc>
        <w:tc>
          <w:tcPr>
            <w:tcW w:type="dxa" w:w="2268"/>
            <w:shd w:fill="DCFCE7" w:val="clear"/>
          </w:tcPr>
          <w:p>
            <w:pPr>
              <w:spacing w:after="0" w:before="0"/>
              <w:jc w:val="center"/>
            </w:pPr>
            <w:r/>
            <w:r>
              <w:rPr>
                <w:rFonts w:ascii="Arial" w:hAnsi="Arial"/>
                <w:b/>
                <w:color w:val="166534"/>
                <w:sz w:val="20"/>
              </w:rPr>
              <w:t>✓ Complete</w:t>
            </w:r>
          </w:p>
        </w:tc>
      </w:tr>
      <w:tr>
        <w:tc>
          <w:tcPr>
            <w:tcW w:type="dxa" w:w="3118"/>
          </w:tcPr>
          <w:p>
            <w:pPr>
              <w:spacing w:after="0" w:before="0"/>
            </w:pPr>
            <w:r/>
            <w:r>
              <w:rPr>
                <w:rFonts w:ascii="Arial" w:hAnsi="Arial"/>
                <w:b w:val="0"/>
                <w:sz w:val="20"/>
              </w:rPr>
              <w:t>Total Releases</w:t>
            </w:r>
          </w:p>
        </w:tc>
        <w:tc>
          <w:tcPr>
            <w:tcW w:type="dxa" w:w="3685"/>
          </w:tcPr>
          <w:p>
            <w:pPr>
              <w:spacing w:after="0" w:before="0"/>
            </w:pPr>
            <w:r/>
            <w:r>
              <w:rPr>
                <w:rFonts w:ascii="Arial" w:hAnsi="Arial"/>
                <w:b w:val="0"/>
                <w:sz w:val="20"/>
              </w:rPr>
              <w:t>24 versions (v2.0.0 — v2.13.3)</w:t>
            </w:r>
          </w:p>
        </w:tc>
        <w:tc>
          <w:tcPr>
            <w:tcW w:type="dxa" w:w="2268"/>
            <w:shd w:fill="DCFCE7" w:val="clear"/>
          </w:tcPr>
          <w:p>
            <w:pPr>
              <w:spacing w:after="0" w:before="0"/>
              <w:jc w:val="center"/>
            </w:pPr>
            <w:r/>
            <w:r>
              <w:rPr>
                <w:rFonts w:ascii="Arial" w:hAnsi="Arial"/>
                <w:b/>
                <w:color w:val="166534"/>
                <w:sz w:val="20"/>
              </w:rPr>
              <w:t>✓ Complete</w:t>
            </w:r>
          </w:p>
        </w:tc>
      </w:tr>
      <w:tr>
        <w:tc>
          <w:tcPr>
            <w:tcW w:type="dxa" w:w="3118"/>
          </w:tcPr>
          <w:p>
            <w:pPr>
              <w:spacing w:after="0" w:before="0"/>
            </w:pPr>
            <w:r/>
            <w:r>
              <w:rPr>
                <w:rFonts w:ascii="Arial" w:hAnsi="Arial"/>
                <w:b w:val="0"/>
                <w:sz w:val="20"/>
              </w:rPr>
              <w:t>Gate Level</w:t>
            </w:r>
          </w:p>
        </w:tc>
        <w:tc>
          <w:tcPr>
            <w:tcW w:type="dxa" w:w="3685"/>
          </w:tcPr>
          <w:p>
            <w:pPr>
              <w:spacing w:after="0" w:before="0"/>
            </w:pPr>
            <w:r/>
            <w:r>
              <w:rPr>
                <w:rFonts w:ascii="Arial" w:hAnsi="Arial"/>
                <w:b w:val="0"/>
                <w:sz w:val="20"/>
              </w:rPr>
              <w:t>G6 — Pre-Demo</w:t>
            </w:r>
          </w:p>
        </w:tc>
        <w:tc>
          <w:tcPr>
            <w:tcW w:type="dxa" w:w="2268"/>
            <w:shd w:fill="DCFCE7" w:val="clear"/>
          </w:tcPr>
          <w:p>
            <w:pPr>
              <w:spacing w:after="0" w:before="0"/>
              <w:jc w:val="center"/>
            </w:pPr>
            <w:r/>
            <w:r>
              <w:rPr>
                <w:rFonts w:ascii="Arial" w:hAnsi="Arial"/>
                <w:b/>
                <w:color w:val="166534"/>
                <w:sz w:val="20"/>
              </w:rPr>
              <w:t>✓ Active</w:t>
            </w:r>
          </w:p>
        </w:tc>
      </w:tr>
      <w:tr>
        <w:tc>
          <w:tcPr>
            <w:tcW w:type="dxa" w:w="3118"/>
          </w:tcPr>
          <w:p>
            <w:pPr>
              <w:spacing w:after="0" w:before="0"/>
            </w:pPr>
            <w:r/>
            <w:r>
              <w:rPr>
                <w:rFonts w:ascii="Arial" w:hAnsi="Arial"/>
                <w:b w:val="0"/>
                <w:sz w:val="20"/>
              </w:rPr>
              <w:t>Frontend Pages</w:t>
            </w:r>
          </w:p>
        </w:tc>
        <w:tc>
          <w:tcPr>
            <w:tcW w:type="dxa" w:w="3685"/>
          </w:tcPr>
          <w:p>
            <w:pPr>
              <w:spacing w:after="0" w:before="0"/>
            </w:pPr>
            <w:r/>
            <w:r>
              <w:rPr>
                <w:rFonts w:ascii="Arial" w:hAnsi="Arial"/>
                <w:b w:val="0"/>
                <w:sz w:val="20"/>
              </w:rPr>
              <w:t>25 pages</w:t>
            </w:r>
          </w:p>
        </w:tc>
        <w:tc>
          <w:tcPr>
            <w:tcW w:type="dxa" w:w="2268"/>
            <w:shd w:fill="DCFCE7" w:val="clear"/>
          </w:tcPr>
          <w:p>
            <w:pPr>
              <w:spacing w:after="0" w:before="0"/>
              <w:jc w:val="center"/>
            </w:pPr>
            <w:r/>
            <w:r>
              <w:rPr>
                <w:rFonts w:ascii="Arial" w:hAnsi="Arial"/>
                <w:b/>
                <w:color w:val="166534"/>
                <w:sz w:val="20"/>
              </w:rPr>
              <w:t>✓ Complete</w:t>
            </w:r>
          </w:p>
        </w:tc>
      </w:tr>
      <w:tr>
        <w:tc>
          <w:tcPr>
            <w:tcW w:type="dxa" w:w="3118"/>
          </w:tcPr>
          <w:p>
            <w:pPr>
              <w:spacing w:after="0" w:before="0"/>
            </w:pPr>
            <w:r/>
            <w:r>
              <w:rPr>
                <w:rFonts w:ascii="Arial" w:hAnsi="Arial"/>
                <w:b w:val="0"/>
                <w:sz w:val="20"/>
              </w:rPr>
              <w:t>UI Components</w:t>
            </w:r>
          </w:p>
        </w:tc>
        <w:tc>
          <w:tcPr>
            <w:tcW w:type="dxa" w:w="3685"/>
          </w:tcPr>
          <w:p>
            <w:pPr>
              <w:spacing w:after="0" w:before="0"/>
            </w:pPr>
            <w:r/>
            <w:r>
              <w:rPr>
                <w:rFonts w:ascii="Arial" w:hAnsi="Arial"/>
                <w:b w:val="0"/>
                <w:sz w:val="20"/>
              </w:rPr>
              <w:t>14 reusable components</w:t>
            </w:r>
          </w:p>
        </w:tc>
        <w:tc>
          <w:tcPr>
            <w:tcW w:type="dxa" w:w="2268"/>
            <w:shd w:fill="DCFCE7" w:val="clear"/>
          </w:tcPr>
          <w:p>
            <w:pPr>
              <w:spacing w:after="0" w:before="0"/>
              <w:jc w:val="center"/>
            </w:pPr>
            <w:r/>
            <w:r>
              <w:rPr>
                <w:rFonts w:ascii="Arial" w:hAnsi="Arial"/>
                <w:b/>
                <w:color w:val="166534"/>
                <w:sz w:val="20"/>
              </w:rPr>
              <w:t>✓ Complete</w:t>
            </w:r>
          </w:p>
        </w:tc>
      </w:tr>
      <w:tr>
        <w:tc>
          <w:tcPr>
            <w:tcW w:type="dxa" w:w="3118"/>
          </w:tcPr>
          <w:p>
            <w:pPr>
              <w:spacing w:after="0" w:before="0"/>
            </w:pPr>
            <w:r/>
            <w:r>
              <w:rPr>
                <w:rFonts w:ascii="Arial" w:hAnsi="Arial"/>
                <w:b w:val="0"/>
                <w:sz w:val="20"/>
              </w:rPr>
              <w:t>Backend Routes</w:t>
            </w:r>
          </w:p>
        </w:tc>
        <w:tc>
          <w:tcPr>
            <w:tcW w:type="dxa" w:w="3685"/>
          </w:tcPr>
          <w:p>
            <w:pPr>
              <w:spacing w:after="0" w:before="0"/>
            </w:pPr>
            <w:r/>
            <w:r>
              <w:rPr>
                <w:rFonts w:ascii="Arial" w:hAnsi="Arial"/>
                <w:b w:val="0"/>
                <w:sz w:val="20"/>
              </w:rPr>
              <w:t>16 modules (28+ endpoints)</w:t>
            </w:r>
          </w:p>
        </w:tc>
        <w:tc>
          <w:tcPr>
            <w:tcW w:type="dxa" w:w="2268"/>
            <w:shd w:fill="DCFCE7" w:val="clear"/>
          </w:tcPr>
          <w:p>
            <w:pPr>
              <w:spacing w:after="0" w:before="0"/>
              <w:jc w:val="center"/>
            </w:pPr>
            <w:r/>
            <w:r>
              <w:rPr>
                <w:rFonts w:ascii="Arial" w:hAnsi="Arial"/>
                <w:b/>
                <w:color w:val="166534"/>
                <w:sz w:val="20"/>
              </w:rPr>
              <w:t>✓ Deployed</w:t>
            </w:r>
          </w:p>
        </w:tc>
      </w:tr>
      <w:tr>
        <w:tc>
          <w:tcPr>
            <w:tcW w:type="dxa" w:w="3118"/>
          </w:tcPr>
          <w:p>
            <w:pPr>
              <w:spacing w:after="0" w:before="0"/>
            </w:pPr>
            <w:r/>
            <w:r>
              <w:rPr>
                <w:rFonts w:ascii="Arial" w:hAnsi="Arial"/>
                <w:b w:val="0"/>
                <w:sz w:val="20"/>
              </w:rPr>
              <w:t>D1 Database Tables</w:t>
            </w:r>
          </w:p>
        </w:tc>
        <w:tc>
          <w:tcPr>
            <w:tcW w:type="dxa" w:w="3685"/>
          </w:tcPr>
          <w:p>
            <w:pPr>
              <w:spacing w:after="0" w:before="0"/>
            </w:pPr>
            <w:r/>
            <w:r>
              <w:rPr>
                <w:rFonts w:ascii="Arial" w:hAnsi="Arial"/>
                <w:b w:val="0"/>
                <w:sz w:val="20"/>
              </w:rPr>
              <w:t>24 tables</w:t>
            </w:r>
          </w:p>
        </w:tc>
        <w:tc>
          <w:tcPr>
            <w:tcW w:type="dxa" w:w="2268"/>
            <w:shd w:fill="DCFCE7" w:val="clear"/>
          </w:tcPr>
          <w:p>
            <w:pPr>
              <w:spacing w:after="0" w:before="0"/>
              <w:jc w:val="center"/>
            </w:pPr>
            <w:r/>
            <w:r>
              <w:rPr>
                <w:rFonts w:ascii="Arial" w:hAnsi="Arial"/>
                <w:b/>
                <w:color w:val="166534"/>
                <w:sz w:val="20"/>
              </w:rPr>
              <w:t>✓ Live</w:t>
            </w:r>
          </w:p>
        </w:tc>
      </w:tr>
      <w:tr>
        <w:tc>
          <w:tcPr>
            <w:tcW w:type="dxa" w:w="3118"/>
          </w:tcPr>
          <w:p>
            <w:pPr>
              <w:spacing w:after="0" w:before="0"/>
            </w:pPr>
            <w:r/>
            <w:r>
              <w:rPr>
                <w:rFonts w:ascii="Arial" w:hAnsi="Arial"/>
                <w:b w:val="0"/>
                <w:sz w:val="20"/>
              </w:rPr>
              <w:t>Sample PDFs</w:t>
            </w:r>
          </w:p>
        </w:tc>
        <w:tc>
          <w:tcPr>
            <w:tcW w:type="dxa" w:w="3685"/>
          </w:tcPr>
          <w:p>
            <w:pPr>
              <w:spacing w:after="0" w:before="0"/>
            </w:pPr>
            <w:r/>
            <w:r>
              <w:rPr>
                <w:rFonts w:ascii="Arial" w:hAnsi="Arial"/>
                <w:b w:val="0"/>
                <w:sz w:val="20"/>
              </w:rPr>
              <w:t>8 government-template documents</w:t>
            </w:r>
          </w:p>
        </w:tc>
        <w:tc>
          <w:tcPr>
            <w:tcW w:type="dxa" w:w="2268"/>
            <w:shd w:fill="DCFCE7" w:val="clear"/>
          </w:tcPr>
          <w:p>
            <w:pPr>
              <w:spacing w:after="0" w:before="0"/>
              <w:jc w:val="center"/>
            </w:pPr>
            <w:r/>
            <w:r>
              <w:rPr>
                <w:rFonts w:ascii="Arial" w:hAnsi="Arial"/>
                <w:b/>
                <w:color w:val="166534"/>
                <w:sz w:val="20"/>
              </w:rPr>
              <w:t>✓ Complete</w:t>
            </w:r>
          </w:p>
        </w:tc>
      </w:tr>
      <w:tr>
        <w:tc>
          <w:tcPr>
            <w:tcW w:type="dxa" w:w="3118"/>
          </w:tcPr>
          <w:p>
            <w:pPr>
              <w:spacing w:after="0" w:before="0"/>
            </w:pPr>
            <w:r/>
            <w:r>
              <w:rPr>
                <w:rFonts w:ascii="Arial" w:hAnsi="Arial"/>
                <w:b w:val="0"/>
                <w:sz w:val="20"/>
              </w:rPr>
              <w:t>Compliance Violations</w:t>
            </w:r>
          </w:p>
        </w:tc>
        <w:tc>
          <w:tcPr>
            <w:tcW w:type="dxa" w:w="3685"/>
          </w:tcPr>
          <w:p>
            <w:pPr>
              <w:spacing w:after="0" w:before="0"/>
            </w:pPr>
            <w:r/>
            <w:r>
              <w:rPr>
                <w:rFonts w:ascii="Arial" w:hAnsi="Arial"/>
                <w:b w:val="0"/>
                <w:sz w:val="20"/>
              </w:rPr>
              <w:t>0</w:t>
            </w:r>
          </w:p>
        </w:tc>
        <w:tc>
          <w:tcPr>
            <w:tcW w:type="dxa" w:w="2268"/>
            <w:shd w:fill="DCFCE7" w:val="clear"/>
          </w:tcPr>
          <w:p>
            <w:pPr>
              <w:spacing w:after="0" w:before="0"/>
              <w:jc w:val="center"/>
            </w:pPr>
            <w:r/>
            <w:r>
              <w:rPr>
                <w:rFonts w:ascii="Arial" w:hAnsi="Arial"/>
                <w:b/>
                <w:color w:val="166534"/>
                <w:sz w:val="20"/>
              </w:rPr>
              <w:t>✓ Complete</w:t>
            </w:r>
          </w:p>
        </w:tc>
      </w:tr>
    </w:tbl>
    <w:p>
      <w:r>
        <w:br w:type="page"/>
      </w:r>
    </w:p>
    <w:p>
      <w:pPr>
        <w:pStyle w:val="Heading1"/>
      </w:pPr>
      <w:r>
        <w:t>2. Technology Stack</w:t>
      </w:r>
    </w:p>
    <w:p>
      <w:r>
        <w:t>The platform is deployed on a modern, serverless architecture optimised for low latency in the UAE region and zero-maintenance operations.</w:t>
      </w:r>
    </w:p>
    <w:p>
      <w:pPr>
        <w:pStyle w:val="Heading2"/>
      </w:pPr>
      <w:r>
        <w:t>2.1 Frontend</w:t>
      </w:r>
    </w:p>
    <w:p>
      <w:r>
        <w:t>React 19 with TypeScript, bundled via Vite 7, and deployed to Vercel with automatic CI/CD on push to main. Styling uses vanilla CSS with CSS custom properties for consistent theming. Icons are provided by lucide-react. The frontend implements a smart API fallback pattern: it health-checks the backend on first load, caches the result for 30 seconds, and transparently falls back to local mock data if the backend is unreachable — ensuring zero downtime for demos.</w:t>
      </w:r>
    </w:p>
    <w:p>
      <w:r>
        <w:t xml:space="preserve">Live URL: </w:t>
      </w:r>
      <w:r>
        <w:rPr>
          <w:color w:val="2D5F8A"/>
          <w:u w:val="single"/>
        </w:rPr>
        <w:t>https://nest-match-uae.vercel.app</w:t>
      </w:r>
    </w:p>
    <w:p>
      <w:pPr>
        <w:pStyle w:val="Heading2"/>
      </w:pPr>
      <w:r>
        <w:t>2.2 Backend</w:t>
      </w:r>
    </w:p>
    <w:p>
      <w:r>
        <w:t>Cloudflare Workers running Hono as the HTTP framework, with Cloudflare D1 (edge SQLite) for structured data and Cloudflare R2 (S3-compatible) for object storage. The backend implements full state machines for viewings, occupancy, and user verification, with every state transition writing to both the current-state table and an append-only audit log.</w:t>
      </w:r>
    </w:p>
    <w:p>
      <w:r>
        <w:t xml:space="preserve">Live URL: </w:t>
      </w:r>
      <w:r>
        <w:rPr>
          <w:color w:val="2D5F8A"/>
          <w:u w:val="single"/>
        </w:rPr>
        <w:t>https://nest-match-uae.pushkar-nagela.workers.dev</w:t>
      </w:r>
    </w:p>
    <w:p>
      <w:pPr>
        <w:pStyle w:val="Heading2"/>
      </w:pPr>
      <w:r>
        <w:t>2.3 Document Generation</w:t>
      </w:r>
    </w:p>
    <w:p>
      <w:r>
        <w:t>PDF document generation uses pypdf and reportlab to overlay NestMatch data onto actual government PDF templates from the Dubai Land Department. This preserves all DLD logos, Arabic bilingual text, EJARI watermarks, and SGS certification badges. Each generated document includes a DocuSign Digital Verification page appended as the final page.</w:t>
      </w:r>
    </w:p>
    <w:p>
      <w:r>
        <w:br w:type="page"/>
      </w:r>
    </w:p>
    <w:p>
      <w:pPr>
        <w:pStyle w:val="Heading1"/>
      </w:pPr>
      <w:r>
        <w:t>3. Features Built</w:t>
      </w:r>
    </w:p>
    <w:p>
      <w:pPr>
        <w:pStyle w:val="Heading2"/>
      </w:pPr>
      <w:r>
        <w:t>3.1 User Registration and Authentication</w:t>
      </w:r>
    </w:p>
    <w:p>
      <w:r>
        <w:t>The platform supports three authentication methods: email/password registration, Google OAuth, and UAE PASS OAuth. Users are placed into a three-tier verification system upon registration. Tier 0 (Explorer) users have browse-only access. Tier 1 (Verified) users have uploaded passport or Emirates ID and can request viewings and chat. Tier 2 (Gold) users have completed UAE PASS verification and gain full platform access including applications, contracts, and GCC Score.</w:t>
      </w:r>
    </w:p>
    <w:p>
      <w:pPr>
        <w:pStyle w:val="Heading2"/>
      </w:pPr>
      <w:r>
        <w:t>3.2 Property Discovery</w:t>
      </w:r>
    </w:p>
    <w:p>
      <w:r>
        <w:t>The Browse page displays all active room listings with filtering by district, property type, price range, and availability. Each listing card shows the property image, monthly rent, district badge, room type, and compliance indicators. The Listing Detail page provides full property information including amenities, location, occupancy status, and a compliance data panel showing DLD registration, Ejari status, and DEWA connection.</w:t>
      </w:r>
    </w:p>
    <w:p>
      <w:pPr>
        <w:pStyle w:val="Heading2"/>
      </w:pPr>
      <w:r>
        <w:t>3.3 DLD Viewing Agreement (Form 85)</w:t>
      </w:r>
    </w:p>
    <w:p>
      <w:r>
        <w:t>The platform generates DLD-standard Property Viewing Agreements using the official Form 85 template. The ViewingAgreementModal implements a three-screen flow: agreement generation with pre-filled data, an awaiting-signatures status screen, and a canvas-based digital signing interface. Upon both parties signing, the agreement status transitions to FULLY_SIGNED with a DocuSign Digital Verification banner displayed. All generated agreements are available as downloadable PDFs overlaid on the government template.</w:t>
      </w:r>
    </w:p>
    <w:p>
      <w:pPr>
        <w:pStyle w:val="Heading2"/>
      </w:pPr>
      <w:r>
        <w:t>3.4 Ejari Document Storage</w:t>
      </w:r>
    </w:p>
    <w:p>
      <w:r>
        <w:t>The Ejari Documents page provides a centralised view of all tenancy contracts registered with Ejari. Each document card displays the property title, district, Ejari registration number, contract dates, annual rent, and active/expired status. Documents include DocuSign verified badges and PDF download links. The Ejari section also appears on user profile pages for tenants with active or historical contracts. NestMatch stores and displays Ejari documents but never drafts, files, or manages them — maintaining the “90% Value, 0% Liability” compliance boundary.</w:t>
      </w:r>
    </w:p>
    <w:p>
      <w:pPr>
        <w:pStyle w:val="Heading2"/>
      </w:pPr>
      <w:r>
        <w:t>3.5 Inbox System</w:t>
      </w:r>
    </w:p>
    <w:p>
      <w:r>
        <w:t>A three-tab inbox system (Actions Required, Messages, Updates) provides a centralised notification hub. Action items include viewing confirmations, agreement signatures, and KYC review requests. Messages include chat notifications and landlord communications. Updates cover system announcements and compliance reminders. Each inbox item supports mark-as-read, action buttons, and deep linking to the relevant page.</w:t>
      </w:r>
    </w:p>
    <w:p>
      <w:pPr>
        <w:pStyle w:val="Heading2"/>
      </w:pPr>
      <w:r>
        <w:t>3.6 Chat System</w:t>
      </w:r>
    </w:p>
    <w:p>
      <w:r>
        <w:t>Real-time messaging between tenants, landlords, and agents via chat channels. Channels are created automatically when a viewing is confirmed. The chat interface supports message history, read receipts, and persona-aware message routing in the demo.</w:t>
      </w:r>
    </w:p>
    <w:p>
      <w:pPr>
        <w:pStyle w:val="Heading2"/>
      </w:pPr>
      <w:r>
        <w:t>3.7 ComplianceFlow</w:t>
      </w:r>
    </w:p>
    <w:p>
      <w:r>
        <w:t>A six-step guided verification sequence that walks new users through: identity upload, document verification, UAE PASS connection, agreement signing, Ejari linking, and compliance confirmation. Each step validates prerequisites before allowing progression.</w:t>
      </w:r>
    </w:p>
    <w:p>
      <w:pPr>
        <w:pStyle w:val="Heading2"/>
      </w:pPr>
      <w:r>
        <w:t>3.8 Landlord and Agent Tools</w:t>
      </w:r>
    </w:p>
    <w:p>
      <w:r>
        <w:t>The Landlord Dashboard provides portfolio overview, occupancy tracking, rent ledger, and applicant review. The Add Property page supports new listing creation with room configuration. My Properties shows the landlord’s portfolio with occupancy status. The Residing Dashboard provides property management views for agents. The Viewing Analytics page offers operations-level data on viewing conversion rates and agreement completion.</w:t>
      </w:r>
    </w:p>
    <w:p>
      <w:pPr>
        <w:pStyle w:val="Heading2"/>
      </w:pPr>
      <w:r>
        <w:t>3.9 GCC Score</w:t>
      </w:r>
    </w:p>
    <w:p>
      <w:r>
        <w:t>A gamification system that rewards positive tenant behaviour: completing viewings, signing agreements on time, maintaining good standing, and receiving positive landlord reviews. The GCC Dashboard shows score breakdown, history, and tier-based benefits.</w:t>
      </w:r>
    </w:p>
    <w:p>
      <w:pPr>
        <w:pStyle w:val="Heading2"/>
      </w:pPr>
      <w:r>
        <w:t>3.10 Admin Tools</w:t>
      </w:r>
    </w:p>
    <w:p>
      <w:r>
        <w:t>The Compliance page provides a compliance admin view showing verification status across all users, flagged documents, and pending KYC reviews. The Customer Database page gives operations admins a CRM-style view of all platform users with filtering by tier, role, and activity status.</w:t>
      </w:r>
    </w:p>
    <w:p>
      <w:r>
        <w:br w:type="page"/>
      </w:r>
    </w:p>
    <w:p>
      <w:pPr>
        <w:pStyle w:val="Heading1"/>
      </w:pPr>
      <w:r>
        <w:t>4. Compliance Verification</w:t>
      </w:r>
    </w:p>
    <w:p>
      <w:r>
        <w:t>NestMatch operates within strict regulatory boundaries. The following constraints have been verified across the entire codebase:</w:t>
      </w:r>
    </w:p>
    <w:p/>
    <w:tbl>
      <w:tblPr>
        <w:tblStyle w:val="TableGrid"/>
        <w:tblW w:type="auto" w:w="0"/>
        <w:jc w:val="center"/>
        <w:tblLook w:firstColumn="1" w:firstRow="1" w:lastColumn="0" w:lastRow="0" w:noHBand="0" w:noVBand="1" w:val="04A0"/>
      </w:tblPr>
      <w:tblGrid>
        <w:gridCol w:w="3249"/>
        <w:gridCol w:w="3249"/>
        <w:gridCol w:w="3249"/>
      </w:tblGrid>
      <w:tr>
        <w:tc>
          <w:tcPr>
            <w:tcW w:type="dxa" w:w="4252"/>
            <w:shd w:fill="1A365D" w:val="clear"/>
          </w:tcPr>
          <w:p>
            <w:pPr>
              <w:spacing w:after="0" w:before="0"/>
            </w:pPr>
            <w:r/>
            <w:r>
              <w:rPr>
                <w:rFonts w:ascii="Arial" w:hAnsi="Arial"/>
                <w:b/>
                <w:color w:val="FFFFFF"/>
                <w:sz w:val="20"/>
              </w:rPr>
              <w:t>Constraint</w:t>
            </w:r>
          </w:p>
        </w:tc>
        <w:tc>
          <w:tcPr>
            <w:tcW w:type="dxa" w:w="2268"/>
            <w:shd w:fill="1A365D" w:val="clear"/>
          </w:tcPr>
          <w:p>
            <w:pPr>
              <w:spacing w:after="0" w:before="0"/>
            </w:pPr>
            <w:r/>
            <w:r>
              <w:rPr>
                <w:rFonts w:ascii="Arial" w:hAnsi="Arial"/>
                <w:b/>
                <w:color w:val="FFFFFF"/>
                <w:sz w:val="20"/>
              </w:rPr>
              <w:t>Required</w:t>
            </w:r>
          </w:p>
        </w:tc>
        <w:tc>
          <w:tcPr>
            <w:tcW w:type="dxa" w:w="2551"/>
            <w:shd w:fill="1A365D" w:val="clear"/>
          </w:tcPr>
          <w:p>
            <w:pPr>
              <w:spacing w:after="0" w:before="0"/>
            </w:pPr>
            <w:r/>
            <w:r>
              <w:rPr>
                <w:rFonts w:ascii="Arial" w:hAnsi="Arial"/>
                <w:b/>
                <w:color w:val="FFFFFF"/>
                <w:sz w:val="20"/>
              </w:rPr>
              <w:t>Verified</w:t>
            </w:r>
          </w:p>
        </w:tc>
      </w:tr>
      <w:tr>
        <w:tc>
          <w:tcPr>
            <w:tcW w:type="dxa" w:w="4252"/>
          </w:tcPr>
          <w:p>
            <w:pPr>
              <w:spacing w:after="0" w:before="0"/>
            </w:pPr>
            <w:r/>
            <w:r>
              <w:rPr>
                <w:rFonts w:ascii="Arial" w:hAnsi="Arial"/>
                <w:b w:val="0"/>
                <w:sz w:val="20"/>
              </w:rPr>
              <w:t>No payment processing (CBUAE licence)</w:t>
            </w:r>
          </w:p>
        </w:tc>
        <w:tc>
          <w:tcPr>
            <w:tcW w:type="dxa" w:w="2268"/>
          </w:tcPr>
          <w:p>
            <w:pPr>
              <w:spacing w:after="0" w:before="0"/>
            </w:pPr>
            <w:r/>
            <w:r>
              <w:rPr>
                <w:rFonts w:ascii="Arial" w:hAnsi="Arial"/>
                <w:b w:val="0"/>
                <w:sz w:val="20"/>
              </w:rPr>
              <w:t>No code exists</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No escrow or deposit holding</w:t>
            </w:r>
          </w:p>
        </w:tc>
        <w:tc>
          <w:tcPr>
            <w:tcW w:type="dxa" w:w="2268"/>
          </w:tcPr>
          <w:p>
            <w:pPr>
              <w:spacing w:after="0" w:before="0"/>
            </w:pPr>
            <w:r/>
            <w:r>
              <w:rPr>
                <w:rFonts w:ascii="Arial" w:hAnsi="Arial"/>
                <w:b w:val="0"/>
                <w:sz w:val="20"/>
              </w:rPr>
              <w:t>No code exists</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No tenancy contract drafting (RERA licence)</w:t>
            </w:r>
          </w:p>
        </w:tc>
        <w:tc>
          <w:tcPr>
            <w:tcW w:type="dxa" w:w="2268"/>
          </w:tcPr>
          <w:p>
            <w:pPr>
              <w:spacing w:after="0" w:before="0"/>
            </w:pPr>
            <w:r/>
            <w:r>
              <w:rPr>
                <w:rFonts w:ascii="Arial" w:hAnsi="Arial"/>
                <w:b w:val="0"/>
                <w:sz w:val="20"/>
              </w:rPr>
              <w:t>Storage only</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No bed-space language (Law No. 4 of 2026)</w:t>
            </w:r>
          </w:p>
        </w:tc>
        <w:tc>
          <w:tcPr>
            <w:tcW w:type="dxa" w:w="2268"/>
          </w:tcPr>
          <w:p>
            <w:pPr>
              <w:spacing w:after="0" w:before="0"/>
            </w:pPr>
            <w:r/>
            <w:r>
              <w:rPr>
                <w:rFonts w:ascii="Arial" w:hAnsi="Arial"/>
                <w:b w:val="0"/>
                <w:sz w:val="20"/>
              </w:rPr>
              <w:t>Rooms only</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Star-only ratings (Cybercrime Law)</w:t>
            </w:r>
          </w:p>
        </w:tc>
        <w:tc>
          <w:tcPr>
            <w:tcW w:type="dxa" w:w="2268"/>
          </w:tcPr>
          <w:p>
            <w:pPr>
              <w:spacing w:after="0" w:before="0"/>
            </w:pPr>
            <w:r/>
            <w:r>
              <w:rPr>
                <w:rFonts w:ascii="Arial" w:hAnsi="Arial"/>
                <w:b w:val="0"/>
                <w:sz w:val="20"/>
              </w:rPr>
              <w:t>No text reviews</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Identity fields masked in UI</w:t>
            </w:r>
          </w:p>
        </w:tc>
        <w:tc>
          <w:tcPr>
            <w:tcW w:type="dxa" w:w="2268"/>
          </w:tcPr>
          <w:p>
            <w:pPr>
              <w:spacing w:after="0" w:before="0"/>
            </w:pPr>
            <w:r/>
            <w:r>
              <w:rPr>
                <w:rFonts w:ascii="Arial" w:hAnsi="Arial"/>
                <w:b w:val="0"/>
                <w:sz w:val="20"/>
              </w:rPr>
              <w:t>All PII masked</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KYC docs in R2 KYC_DOCS bucket only</w:t>
            </w:r>
          </w:p>
        </w:tc>
        <w:tc>
          <w:tcPr>
            <w:tcW w:type="dxa" w:w="2268"/>
          </w:tcPr>
          <w:p>
            <w:pPr>
              <w:spacing w:after="0" w:before="0"/>
            </w:pPr>
            <w:r/>
            <w:r>
              <w:rPr>
                <w:rFonts w:ascii="Arial" w:hAnsi="Arial"/>
                <w:b w:val="0"/>
                <w:sz w:val="20"/>
              </w:rPr>
              <w:t>Separated from images</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Footer legal disclaimer on all pages</w:t>
            </w:r>
          </w:p>
        </w:tc>
        <w:tc>
          <w:tcPr>
            <w:tcW w:type="dxa" w:w="2268"/>
          </w:tcPr>
          <w:p>
            <w:pPr>
              <w:spacing w:after="0" w:before="0"/>
            </w:pPr>
            <w:r/>
            <w:r>
              <w:rPr>
                <w:rFonts w:ascii="Arial" w:hAnsi="Arial"/>
                <w:b w:val="0"/>
                <w:sz w:val="20"/>
              </w:rPr>
              <w:t>Always visible</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Privacy Policy (Federal Law No. 45)</w:t>
            </w:r>
          </w:p>
        </w:tc>
        <w:tc>
          <w:tcPr>
            <w:tcW w:type="dxa" w:w="2268"/>
          </w:tcPr>
          <w:p>
            <w:pPr>
              <w:spacing w:after="0" w:before="0"/>
            </w:pPr>
            <w:r/>
            <w:r>
              <w:rPr>
                <w:rFonts w:ascii="Arial" w:hAnsi="Arial"/>
                <w:b w:val="0"/>
                <w:sz w:val="20"/>
              </w:rPr>
              <w:t>Page exists</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Terms of Service with legal boundaries</w:t>
            </w:r>
          </w:p>
        </w:tc>
        <w:tc>
          <w:tcPr>
            <w:tcW w:type="dxa" w:w="2268"/>
          </w:tcPr>
          <w:p>
            <w:pPr>
              <w:spacing w:after="0" w:before="0"/>
            </w:pPr>
            <w:r/>
            <w:r>
              <w:rPr>
                <w:rFonts w:ascii="Arial" w:hAnsi="Arial"/>
                <w:b w:val="0"/>
                <w:sz w:val="20"/>
              </w:rPr>
              <w:t>Page exists</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mockStripeService.ts deleted</w:t>
            </w:r>
          </w:p>
        </w:tc>
        <w:tc>
          <w:tcPr>
            <w:tcW w:type="dxa" w:w="2268"/>
          </w:tcPr>
          <w:p>
            <w:pPr>
              <w:spacing w:after="0" w:before="0"/>
            </w:pPr>
            <w:r/>
            <w:r>
              <w:rPr>
                <w:rFonts w:ascii="Arial" w:hAnsi="Arial"/>
                <w:b w:val="0"/>
                <w:sz w:val="20"/>
              </w:rPr>
              <w:t>Never recreated</w:t>
            </w:r>
          </w:p>
        </w:tc>
        <w:tc>
          <w:tcPr>
            <w:tcW w:type="dxa" w:w="2551"/>
            <w:shd w:fill="DCFCE7" w:val="clear"/>
          </w:tcPr>
          <w:p>
            <w:pPr>
              <w:spacing w:after="0" w:before="0"/>
              <w:jc w:val="center"/>
            </w:pPr>
            <w:r/>
            <w:r>
              <w:rPr>
                <w:rFonts w:ascii="Arial" w:hAnsi="Arial"/>
                <w:b/>
                <w:color w:val="166534"/>
                <w:sz w:val="20"/>
              </w:rPr>
              <w:t>✓ Complete</w:t>
            </w:r>
          </w:p>
        </w:tc>
      </w:tr>
      <w:tr>
        <w:tc>
          <w:tcPr>
            <w:tcW w:type="dxa" w:w="4252"/>
          </w:tcPr>
          <w:p>
            <w:pPr>
              <w:spacing w:after="0" w:before="0"/>
            </w:pPr>
            <w:r/>
            <w:r>
              <w:rPr>
                <w:rFonts w:ascii="Arial" w:hAnsi="Arial"/>
                <w:b w:val="0"/>
                <w:sz w:val="20"/>
              </w:rPr>
              <w:t>ContractManagerPage.tsx deleted</w:t>
            </w:r>
          </w:p>
        </w:tc>
        <w:tc>
          <w:tcPr>
            <w:tcW w:type="dxa" w:w="2268"/>
          </w:tcPr>
          <w:p>
            <w:pPr>
              <w:spacing w:after="0" w:before="0"/>
            </w:pPr>
            <w:r/>
            <w:r>
              <w:rPr>
                <w:rFonts w:ascii="Arial" w:hAnsi="Arial"/>
                <w:b w:val="0"/>
                <w:sz w:val="20"/>
              </w:rPr>
              <w:t>Never recreated</w:t>
            </w:r>
          </w:p>
        </w:tc>
        <w:tc>
          <w:tcPr>
            <w:tcW w:type="dxa" w:w="2551"/>
            <w:shd w:fill="DCFCE7" w:val="clear"/>
          </w:tcPr>
          <w:p>
            <w:pPr>
              <w:spacing w:after="0" w:before="0"/>
              <w:jc w:val="center"/>
            </w:pPr>
            <w:r/>
            <w:r>
              <w:rPr>
                <w:rFonts w:ascii="Arial" w:hAnsi="Arial"/>
                <w:b/>
                <w:color w:val="166534"/>
                <w:sz w:val="20"/>
              </w:rPr>
              <w:t>✓ Complete</w:t>
            </w:r>
          </w:p>
        </w:tc>
      </w:tr>
    </w:tbl>
    <w:p>
      <w:r>
        <w:br w:type="page"/>
      </w:r>
    </w:p>
    <w:p>
      <w:pPr>
        <w:pStyle w:val="Heading1"/>
      </w:pPr>
      <w:r>
        <w:t>5. Canonical Data Model</w:t>
      </w:r>
    </w:p>
    <w:p>
      <w:r>
        <w:t>The demo dataset is locked at 15 personas and 12 properties, approved at Gate G3. No modifications have been made since approval.</w:t>
      </w:r>
    </w:p>
    <w:p>
      <w:pPr>
        <w:pStyle w:val="Heading2"/>
      </w:pPr>
      <w:r>
        <w:t>5.1 Persona Summary (15 users)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134"/>
            <w:shd w:fill="1A365D" w:val="clear"/>
          </w:tcPr>
          <w:p>
            <w:pPr>
              <w:spacing w:after="0" w:before="0"/>
            </w:pPr>
            <w:r/>
            <w:r>
              <w:rPr>
                <w:rFonts w:ascii="Arial" w:hAnsi="Arial"/>
                <w:b/>
                <w:color w:val="FFFFFF"/>
                <w:sz w:val="20"/>
              </w:rPr>
              <w:t>ID</w:t>
            </w:r>
          </w:p>
        </w:tc>
        <w:tc>
          <w:tcPr>
            <w:tcW w:type="dxa" w:w="2551"/>
            <w:shd w:fill="1A365D" w:val="clear"/>
          </w:tcPr>
          <w:p>
            <w:pPr>
              <w:spacing w:after="0" w:before="0"/>
            </w:pPr>
            <w:r/>
            <w:r>
              <w:rPr>
                <w:rFonts w:ascii="Arial" w:hAnsi="Arial"/>
                <w:b/>
                <w:color w:val="FFFFFF"/>
                <w:sz w:val="20"/>
              </w:rPr>
              <w:t>Name</w:t>
            </w:r>
          </w:p>
        </w:tc>
        <w:tc>
          <w:tcPr>
            <w:tcW w:type="dxa" w:w="1984"/>
            <w:shd w:fill="1A365D" w:val="clear"/>
          </w:tcPr>
          <w:p>
            <w:pPr>
              <w:spacing w:after="0" w:before="0"/>
            </w:pPr>
            <w:r/>
            <w:r>
              <w:rPr>
                <w:rFonts w:ascii="Arial" w:hAnsi="Arial"/>
                <w:b/>
                <w:color w:val="FFFFFF"/>
                <w:sz w:val="20"/>
              </w:rPr>
              <w:t>Role</w:t>
            </w:r>
          </w:p>
        </w:tc>
        <w:tc>
          <w:tcPr>
            <w:tcW w:type="dxa" w:w="1701"/>
            <w:shd w:fill="1A365D" w:val="clear"/>
          </w:tcPr>
          <w:p>
            <w:pPr>
              <w:spacing w:after="0" w:before="0"/>
            </w:pPr>
            <w:r/>
            <w:r>
              <w:rPr>
                <w:rFonts w:ascii="Arial" w:hAnsi="Arial"/>
                <w:b/>
                <w:color w:val="FFFFFF"/>
                <w:sz w:val="20"/>
              </w:rPr>
              <w:t>Tier</w:t>
            </w:r>
          </w:p>
        </w:tc>
        <w:tc>
          <w:tcPr>
            <w:tcW w:type="dxa" w:w="1701"/>
            <w:shd w:fill="1A365D" w:val="clear"/>
          </w:tcPr>
          <w:p>
            <w:pPr>
              <w:spacing w:after="0" w:before="0"/>
            </w:pPr>
            <w:r/>
            <w:r>
              <w:rPr>
                <w:rFonts w:ascii="Arial" w:hAnsi="Arial"/>
                <w:b/>
                <w:color w:val="FFFFFF"/>
                <w:sz w:val="20"/>
              </w:rPr>
              <w:t>Status</w:t>
            </w:r>
          </w:p>
        </w:tc>
      </w:tr>
      <w:tr>
        <w:tc>
          <w:tcPr>
            <w:tcW w:type="dxa" w:w="1134"/>
          </w:tcPr>
          <w:p>
            <w:pPr>
              <w:spacing w:after="0" w:before="0"/>
            </w:pPr>
            <w:r/>
            <w:r>
              <w:rPr>
                <w:rFonts w:ascii="Arial" w:hAnsi="Arial"/>
                <w:b w:val="0"/>
                <w:sz w:val="20"/>
              </w:rPr>
              <w:t>L001</w:t>
            </w:r>
          </w:p>
        </w:tc>
        <w:tc>
          <w:tcPr>
            <w:tcW w:type="dxa" w:w="2551"/>
          </w:tcPr>
          <w:p>
            <w:pPr>
              <w:spacing w:after="0" w:before="0"/>
            </w:pPr>
            <w:r/>
            <w:r>
              <w:rPr>
                <w:rFonts w:ascii="Arial" w:hAnsi="Arial"/>
                <w:b w:val="0"/>
                <w:sz w:val="20"/>
              </w:rPr>
              <w:t>Ahmed Al Maktoum</w:t>
            </w:r>
          </w:p>
        </w:tc>
        <w:tc>
          <w:tcPr>
            <w:tcW w:type="dxa" w:w="1984"/>
          </w:tcPr>
          <w:p>
            <w:pPr>
              <w:spacing w:after="0" w:before="0"/>
            </w:pPr>
            <w:r/>
            <w:r>
              <w:rPr>
                <w:rFonts w:ascii="Arial" w:hAnsi="Arial"/>
                <w:b w:val="0"/>
                <w:sz w:val="20"/>
              </w:rPr>
              <w:t>Landlord</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L002</w:t>
            </w:r>
          </w:p>
        </w:tc>
        <w:tc>
          <w:tcPr>
            <w:tcW w:type="dxa" w:w="2551"/>
          </w:tcPr>
          <w:p>
            <w:pPr>
              <w:spacing w:after="0" w:before="0"/>
            </w:pPr>
            <w:r/>
            <w:r>
              <w:rPr>
                <w:rFonts w:ascii="Arial" w:hAnsi="Arial"/>
                <w:b w:val="0"/>
                <w:sz w:val="20"/>
              </w:rPr>
              <w:t>Fatima Hassan</w:t>
            </w:r>
          </w:p>
        </w:tc>
        <w:tc>
          <w:tcPr>
            <w:tcW w:type="dxa" w:w="1984"/>
          </w:tcPr>
          <w:p>
            <w:pPr>
              <w:spacing w:after="0" w:before="0"/>
            </w:pPr>
            <w:r/>
            <w:r>
              <w:rPr>
                <w:rFonts w:ascii="Arial" w:hAnsi="Arial"/>
                <w:b w:val="0"/>
                <w:sz w:val="20"/>
              </w:rPr>
              <w:t>Landlord</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A001</w:t>
            </w:r>
          </w:p>
        </w:tc>
        <w:tc>
          <w:tcPr>
            <w:tcW w:type="dxa" w:w="2551"/>
          </w:tcPr>
          <w:p>
            <w:pPr>
              <w:spacing w:after="0" w:before="0"/>
            </w:pPr>
            <w:r/>
            <w:r>
              <w:rPr>
                <w:rFonts w:ascii="Arial" w:hAnsi="Arial"/>
                <w:b w:val="0"/>
                <w:sz w:val="20"/>
              </w:rPr>
              <w:t>Khalid Al Rashid</w:t>
            </w:r>
          </w:p>
        </w:tc>
        <w:tc>
          <w:tcPr>
            <w:tcW w:type="dxa" w:w="1984"/>
          </w:tcPr>
          <w:p>
            <w:pPr>
              <w:spacing w:after="0" w:before="0"/>
            </w:pPr>
            <w:r/>
            <w:r>
              <w:rPr>
                <w:rFonts w:ascii="Arial" w:hAnsi="Arial"/>
                <w:b w:val="0"/>
                <w:sz w:val="20"/>
              </w:rPr>
              <w:t>Agent</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A002</w:t>
            </w:r>
          </w:p>
        </w:tc>
        <w:tc>
          <w:tcPr>
            <w:tcW w:type="dxa" w:w="2551"/>
          </w:tcPr>
          <w:p>
            <w:pPr>
              <w:spacing w:after="0" w:before="0"/>
            </w:pPr>
            <w:r/>
            <w:r>
              <w:rPr>
                <w:rFonts w:ascii="Arial" w:hAnsi="Arial"/>
                <w:b w:val="0"/>
                <w:sz w:val="20"/>
              </w:rPr>
              <w:t>Tariq Mahmood</w:t>
            </w:r>
          </w:p>
        </w:tc>
        <w:tc>
          <w:tcPr>
            <w:tcW w:type="dxa" w:w="1984"/>
          </w:tcPr>
          <w:p>
            <w:pPr>
              <w:spacing w:after="0" w:before="0"/>
            </w:pPr>
            <w:r/>
            <w:r>
              <w:rPr>
                <w:rFonts w:ascii="Arial" w:hAnsi="Arial"/>
                <w:b w:val="0"/>
                <w:sz w:val="20"/>
              </w:rPr>
              <w:t>Agent</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S001</w:t>
            </w:r>
          </w:p>
        </w:tc>
        <w:tc>
          <w:tcPr>
            <w:tcW w:type="dxa" w:w="2551"/>
          </w:tcPr>
          <w:p>
            <w:pPr>
              <w:spacing w:after="0" w:before="0"/>
            </w:pPr>
            <w:r/>
            <w:r>
              <w:rPr>
                <w:rFonts w:ascii="Arial" w:hAnsi="Arial"/>
                <w:b w:val="0"/>
                <w:sz w:val="20"/>
              </w:rPr>
              <w:t>Priya Sharma</w:t>
            </w:r>
          </w:p>
        </w:tc>
        <w:tc>
          <w:tcPr>
            <w:tcW w:type="dxa" w:w="1984"/>
          </w:tcPr>
          <w:p>
            <w:pPr>
              <w:spacing w:after="0" w:before="0"/>
            </w:pPr>
            <w:r/>
            <w:r>
              <w:rPr>
                <w:rFonts w:ascii="Arial" w:hAnsi="Arial"/>
                <w:b w:val="0"/>
                <w:sz w:val="20"/>
              </w:rPr>
              <w:t>Residing Tenant</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S002</w:t>
            </w:r>
          </w:p>
        </w:tc>
        <w:tc>
          <w:tcPr>
            <w:tcW w:type="dxa" w:w="2551"/>
          </w:tcPr>
          <w:p>
            <w:pPr>
              <w:spacing w:after="0" w:before="0"/>
            </w:pPr>
            <w:r/>
            <w:r>
              <w:rPr>
                <w:rFonts w:ascii="Arial" w:hAnsi="Arial"/>
                <w:b w:val="0"/>
                <w:sz w:val="20"/>
              </w:rPr>
              <w:t>Marcus Chen</w:t>
            </w:r>
          </w:p>
        </w:tc>
        <w:tc>
          <w:tcPr>
            <w:tcW w:type="dxa" w:w="1984"/>
          </w:tcPr>
          <w:p>
            <w:pPr>
              <w:spacing w:after="0" w:before="0"/>
            </w:pPr>
            <w:r/>
            <w:r>
              <w:rPr>
                <w:rFonts w:ascii="Arial" w:hAnsi="Arial"/>
                <w:b w:val="0"/>
                <w:sz w:val="20"/>
              </w:rPr>
              <w:t>Residing Tenant</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S003</w:t>
            </w:r>
          </w:p>
        </w:tc>
        <w:tc>
          <w:tcPr>
            <w:tcW w:type="dxa" w:w="2551"/>
          </w:tcPr>
          <w:p>
            <w:pPr>
              <w:spacing w:after="0" w:before="0"/>
            </w:pPr>
            <w:r/>
            <w:r>
              <w:rPr>
                <w:rFonts w:ascii="Arial" w:hAnsi="Arial"/>
                <w:b w:val="0"/>
                <w:sz w:val="20"/>
              </w:rPr>
              <w:t>Aisha Patel</w:t>
            </w:r>
          </w:p>
        </w:tc>
        <w:tc>
          <w:tcPr>
            <w:tcW w:type="dxa" w:w="1984"/>
          </w:tcPr>
          <w:p>
            <w:pPr>
              <w:spacing w:after="0" w:before="0"/>
            </w:pPr>
            <w:r/>
            <w:r>
              <w:rPr>
                <w:rFonts w:ascii="Arial" w:hAnsi="Arial"/>
                <w:b w:val="0"/>
                <w:sz w:val="20"/>
              </w:rPr>
              <w:t>Searching</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S004</w:t>
            </w:r>
          </w:p>
        </w:tc>
        <w:tc>
          <w:tcPr>
            <w:tcW w:type="dxa" w:w="2551"/>
          </w:tcPr>
          <w:p>
            <w:pPr>
              <w:spacing w:after="0" w:before="0"/>
            </w:pPr>
            <w:r/>
            <w:r>
              <w:rPr>
                <w:rFonts w:ascii="Arial" w:hAnsi="Arial"/>
                <w:b w:val="0"/>
                <w:sz w:val="20"/>
              </w:rPr>
              <w:t>James Morrison</w:t>
            </w:r>
          </w:p>
        </w:tc>
        <w:tc>
          <w:tcPr>
            <w:tcW w:type="dxa" w:w="1984"/>
          </w:tcPr>
          <w:p>
            <w:pPr>
              <w:spacing w:after="0" w:before="0"/>
            </w:pPr>
            <w:r/>
            <w:r>
              <w:rPr>
                <w:rFonts w:ascii="Arial" w:hAnsi="Arial"/>
                <w:b w:val="0"/>
                <w:sz w:val="20"/>
              </w:rPr>
              <w:t>Searching</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S005</w:t>
            </w:r>
          </w:p>
        </w:tc>
        <w:tc>
          <w:tcPr>
            <w:tcW w:type="dxa" w:w="2551"/>
          </w:tcPr>
          <w:p>
            <w:pPr>
              <w:spacing w:after="0" w:before="0"/>
            </w:pPr>
            <w:r/>
            <w:r>
              <w:rPr>
                <w:rFonts w:ascii="Arial" w:hAnsi="Arial"/>
                <w:b w:val="0"/>
                <w:sz w:val="20"/>
              </w:rPr>
              <w:t>James Okafor</w:t>
            </w:r>
          </w:p>
        </w:tc>
        <w:tc>
          <w:tcPr>
            <w:tcW w:type="dxa" w:w="1984"/>
          </w:tcPr>
          <w:p>
            <w:pPr>
              <w:spacing w:after="0" w:before="0"/>
            </w:pPr>
            <w:r/>
            <w:r>
              <w:rPr>
                <w:rFonts w:ascii="Arial" w:hAnsi="Arial"/>
                <w:b w:val="0"/>
                <w:sz w:val="20"/>
              </w:rPr>
              <w:t>Searching</w:t>
            </w:r>
          </w:p>
        </w:tc>
        <w:tc>
          <w:tcPr>
            <w:tcW w:type="dxa" w:w="1701"/>
          </w:tcPr>
          <w:p>
            <w:pPr>
              <w:spacing w:after="0" w:before="0"/>
            </w:pPr>
            <w:r/>
            <w:r>
              <w:rPr>
                <w:rFonts w:ascii="Arial" w:hAnsi="Arial"/>
                <w:b w:val="0"/>
                <w:sz w:val="20"/>
              </w:rPr>
              <w:t>Tier 1 Verified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S006</w:t>
            </w:r>
          </w:p>
        </w:tc>
        <w:tc>
          <w:tcPr>
            <w:tcW w:type="dxa" w:w="2551"/>
          </w:tcPr>
          <w:p>
            <w:pPr>
              <w:spacing w:after="0" w:before="0"/>
            </w:pPr>
            <w:r/>
            <w:r>
              <w:rPr>
                <w:rFonts w:ascii="Arial" w:hAnsi="Arial"/>
                <w:b w:val="0"/>
                <w:sz w:val="20"/>
              </w:rPr>
              <w:t>Sofia Kowalski</w:t>
            </w:r>
          </w:p>
        </w:tc>
        <w:tc>
          <w:tcPr>
            <w:tcW w:type="dxa" w:w="1984"/>
          </w:tcPr>
          <w:p>
            <w:pPr>
              <w:spacing w:after="0" w:before="0"/>
            </w:pPr>
            <w:r/>
            <w:r>
              <w:rPr>
                <w:rFonts w:ascii="Arial" w:hAnsi="Arial"/>
                <w:b w:val="0"/>
                <w:sz w:val="20"/>
              </w:rPr>
              <w:t>Residing Tenant</w:t>
            </w:r>
          </w:p>
        </w:tc>
        <w:tc>
          <w:tcPr>
            <w:tcW w:type="dxa" w:w="1701"/>
          </w:tcPr>
          <w:p>
            <w:pPr>
              <w:spacing w:after="0" w:before="0"/>
            </w:pPr>
            <w:r/>
            <w:r>
              <w:rPr>
                <w:rFonts w:ascii="Arial" w:hAnsi="Arial"/>
                <w:b w:val="0"/>
                <w:sz w:val="20"/>
              </w:rPr>
              <w:t>Tier 1 Verified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S007</w:t>
            </w:r>
          </w:p>
        </w:tc>
        <w:tc>
          <w:tcPr>
            <w:tcW w:type="dxa" w:w="2551"/>
          </w:tcPr>
          <w:p>
            <w:pPr>
              <w:spacing w:after="0" w:before="0"/>
            </w:pPr>
            <w:r/>
            <w:r>
              <w:rPr>
                <w:rFonts w:ascii="Arial" w:hAnsi="Arial"/>
                <w:b w:val="0"/>
                <w:sz w:val="20"/>
              </w:rPr>
              <w:t>Ravi Menon</w:t>
            </w:r>
          </w:p>
        </w:tc>
        <w:tc>
          <w:tcPr>
            <w:tcW w:type="dxa" w:w="1984"/>
          </w:tcPr>
          <w:p>
            <w:pPr>
              <w:spacing w:after="0" w:before="0"/>
            </w:pPr>
            <w:r/>
            <w:r>
              <w:rPr>
                <w:rFonts w:ascii="Arial" w:hAnsi="Arial"/>
                <w:b w:val="0"/>
                <w:sz w:val="20"/>
              </w:rPr>
              <w:t>Searching</w:t>
            </w:r>
          </w:p>
        </w:tc>
        <w:tc>
          <w:tcPr>
            <w:tcW w:type="dxa" w:w="1701"/>
          </w:tcPr>
          <w:p>
            <w:pPr>
              <w:spacing w:after="0" w:before="0"/>
            </w:pPr>
            <w:r/>
            <w:r>
              <w:rPr>
                <w:rFonts w:ascii="Arial" w:hAnsi="Arial"/>
                <w:b w:val="0"/>
                <w:sz w:val="20"/>
              </w:rPr>
              <w:t>Tier 1 Verified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S008</w:t>
            </w:r>
          </w:p>
        </w:tc>
        <w:tc>
          <w:tcPr>
            <w:tcW w:type="dxa" w:w="2551"/>
          </w:tcPr>
          <w:p>
            <w:pPr>
              <w:spacing w:after="0" w:before="0"/>
            </w:pPr>
            <w:r/>
            <w:r>
              <w:rPr>
                <w:rFonts w:ascii="Arial" w:hAnsi="Arial"/>
                <w:b w:val="0"/>
                <w:sz w:val="20"/>
              </w:rPr>
              <w:t>Liam O’Brien</w:t>
            </w:r>
          </w:p>
        </w:tc>
        <w:tc>
          <w:tcPr>
            <w:tcW w:type="dxa" w:w="1984"/>
          </w:tcPr>
          <w:p>
            <w:pPr>
              <w:spacing w:after="0" w:before="0"/>
            </w:pPr>
            <w:r/>
            <w:r>
              <w:rPr>
                <w:rFonts w:ascii="Arial" w:hAnsi="Arial"/>
                <w:b w:val="0"/>
                <w:sz w:val="20"/>
              </w:rPr>
              <w:t>Residing Tenant</w:t>
            </w:r>
          </w:p>
        </w:tc>
        <w:tc>
          <w:tcPr>
            <w:tcW w:type="dxa" w:w="1701"/>
          </w:tcPr>
          <w:p>
            <w:pPr>
              <w:spacing w:after="0" w:before="0"/>
            </w:pPr>
            <w:r/>
            <w:r>
              <w:rPr>
                <w:rFonts w:ascii="Arial" w:hAnsi="Arial"/>
                <w:b w:val="0"/>
                <w:sz w:val="20"/>
              </w:rPr>
              <w:t>Tier 0 Explorer</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S009</w:t>
            </w:r>
          </w:p>
        </w:tc>
        <w:tc>
          <w:tcPr>
            <w:tcW w:type="dxa" w:w="2551"/>
          </w:tcPr>
          <w:p>
            <w:pPr>
              <w:spacing w:after="0" w:before="0"/>
            </w:pPr>
            <w:r/>
            <w:r>
              <w:rPr>
                <w:rFonts w:ascii="Arial" w:hAnsi="Arial"/>
                <w:b w:val="0"/>
                <w:sz w:val="20"/>
              </w:rPr>
              <w:t>Amara Diallo</w:t>
            </w:r>
          </w:p>
        </w:tc>
        <w:tc>
          <w:tcPr>
            <w:tcW w:type="dxa" w:w="1984"/>
          </w:tcPr>
          <w:p>
            <w:pPr>
              <w:spacing w:after="0" w:before="0"/>
            </w:pPr>
            <w:r/>
            <w:r>
              <w:rPr>
                <w:rFonts w:ascii="Arial" w:hAnsi="Arial"/>
                <w:b w:val="0"/>
                <w:sz w:val="20"/>
              </w:rPr>
              <w:t>Searching</w:t>
            </w:r>
          </w:p>
        </w:tc>
        <w:tc>
          <w:tcPr>
            <w:tcW w:type="dxa" w:w="1701"/>
          </w:tcPr>
          <w:p>
            <w:pPr>
              <w:spacing w:after="0" w:before="0"/>
            </w:pPr>
            <w:r/>
            <w:r>
              <w:rPr>
                <w:rFonts w:ascii="Arial" w:hAnsi="Arial"/>
                <w:b w:val="0"/>
                <w:sz w:val="20"/>
              </w:rPr>
              <w:t>Tier 0 Explorer</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ADM001</w:t>
            </w:r>
          </w:p>
        </w:tc>
        <w:tc>
          <w:tcPr>
            <w:tcW w:type="dxa" w:w="2551"/>
          </w:tcPr>
          <w:p>
            <w:pPr>
              <w:spacing w:after="0" w:before="0"/>
            </w:pPr>
            <w:r/>
            <w:r>
              <w:rPr>
                <w:rFonts w:ascii="Arial" w:hAnsi="Arial"/>
                <w:b w:val="0"/>
                <w:sz w:val="20"/>
              </w:rPr>
              <w:t>Sara Al Hashimi</w:t>
            </w:r>
          </w:p>
        </w:tc>
        <w:tc>
          <w:tcPr>
            <w:tcW w:type="dxa" w:w="1984"/>
          </w:tcPr>
          <w:p>
            <w:pPr>
              <w:spacing w:after="0" w:before="0"/>
            </w:pPr>
            <w:r/>
            <w:r>
              <w:rPr>
                <w:rFonts w:ascii="Arial" w:hAnsi="Arial"/>
                <w:b w:val="0"/>
                <w:sz w:val="20"/>
              </w:rPr>
              <w:t>Compliance Admin</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r>
        <w:tc>
          <w:tcPr>
            <w:tcW w:type="dxa" w:w="1134"/>
          </w:tcPr>
          <w:p>
            <w:pPr>
              <w:spacing w:after="0" w:before="0"/>
            </w:pPr>
            <w:r/>
            <w:r>
              <w:rPr>
                <w:rFonts w:ascii="Arial" w:hAnsi="Arial"/>
                <w:b w:val="0"/>
                <w:sz w:val="20"/>
              </w:rPr>
              <w:t>ADM002</w:t>
            </w:r>
          </w:p>
        </w:tc>
        <w:tc>
          <w:tcPr>
            <w:tcW w:type="dxa" w:w="2551"/>
          </w:tcPr>
          <w:p>
            <w:pPr>
              <w:spacing w:after="0" w:before="0"/>
            </w:pPr>
            <w:r/>
            <w:r>
              <w:rPr>
                <w:rFonts w:ascii="Arial" w:hAnsi="Arial"/>
                <w:b w:val="0"/>
                <w:sz w:val="20"/>
              </w:rPr>
              <w:t>Rashid Khalil</w:t>
            </w:r>
          </w:p>
        </w:tc>
        <w:tc>
          <w:tcPr>
            <w:tcW w:type="dxa" w:w="1984"/>
          </w:tcPr>
          <w:p>
            <w:pPr>
              <w:spacing w:after="0" w:before="0"/>
            </w:pPr>
            <w:r/>
            <w:r>
              <w:rPr>
                <w:rFonts w:ascii="Arial" w:hAnsi="Arial"/>
                <w:b w:val="0"/>
                <w:sz w:val="20"/>
              </w:rPr>
              <w:t>Ops Admin</w:t>
            </w:r>
          </w:p>
        </w:tc>
        <w:tc>
          <w:tcPr>
            <w:tcW w:type="dxa" w:w="1701"/>
          </w:tcPr>
          <w:p>
            <w:pPr>
              <w:spacing w:after="0" w:before="0"/>
            </w:pPr>
            <w:r/>
            <w:r>
              <w:rPr>
                <w:rFonts w:ascii="Arial" w:hAnsi="Arial"/>
                <w:b w:val="0"/>
                <w:sz w:val="20"/>
              </w:rPr>
              <w:t>Tier 2 Gold</w:t>
            </w:r>
          </w:p>
        </w:tc>
        <w:tc>
          <w:tcPr>
            <w:tcW w:type="dxa" w:w="1701"/>
            <w:shd w:fill="DCFCE7" w:val="clear"/>
          </w:tcPr>
          <w:p>
            <w:pPr>
              <w:spacing w:after="0" w:before="0"/>
              <w:jc w:val="center"/>
            </w:pPr>
            <w:r/>
            <w:r>
              <w:rPr>
                <w:rFonts w:ascii="Arial" w:hAnsi="Arial"/>
                <w:b/>
                <w:color w:val="166534"/>
                <w:sz w:val="20"/>
              </w:rPr>
              <w:t>✓ Active</w:t>
            </w:r>
          </w:p>
        </w:tc>
      </w:tr>
    </w:tbl>
    <w:p>
      <w:r>
        <w:br w:type="page"/>
      </w:r>
    </w:p>
    <w:p>
      <w:pPr>
        <w:pStyle w:val="Heading1"/>
      </w:pPr>
      <w:r>
        <w:t>6. Investor Demo Flow</w:t>
      </w:r>
    </w:p>
    <w:p>
      <w:r>
        <w:t>The following is the recommended 15-minute investor demo flow, designed to showcase every major feature of the platform through persona switching:</w:t>
      </w:r>
    </w:p>
    <w:p>
      <w:pPr>
        <w:pStyle w:val="Heading2"/>
      </w:pPr>
      <w:r>
        <w:t>6.1 Opening (2 min) — Public Experience</w:t>
      </w:r>
    </w:p>
    <w:p>
      <w:r>
        <w:t>Begin at the Homepage (/) to show the platform’s value proposition and branding. Navigate to How It Works (/how-it-works) to explain the three-tier verification system. Open Browse (/browse) and demonstrate property filtering by district and price range. Click into a listing to show the Listing Detail page with compliance data panel, amenities, and room availability.</w:t>
      </w:r>
    </w:p>
    <w:p>
      <w:pPr>
        <w:pStyle w:val="Heading2"/>
      </w:pPr>
      <w:r>
        <w:t>6.2 Tenant Journey (4 min) — Switch to Aisha Patel (S003)</w:t>
      </w:r>
    </w:p>
    <w:p>
      <w:r>
        <w:t>Using Demo Controls, switch to Aisha Patel (Tier 2 Gold, searching tenant). Show her Profile page with Emirates ID verification badge, GCC Score, and Ejari documents section. Navigate to Viewings (/viewings) to show her confirmed viewing with DLD agreement status. Open the ViewingAgreementModal to demonstrate the three-screen signing flow: agreement details, signature capture, and DocuSign verification. Download the generated PDF to show the government-template-based viewing agreement. Navigate to Chat (/chat) to show messaging with the agent. Open Inbox (/inbox) to demonstrate the three-tab notification system.</w:t>
      </w:r>
    </w:p>
    <w:p>
      <w:pPr>
        <w:pStyle w:val="Heading2"/>
      </w:pPr>
      <w:r>
        <w:t>6.3 Tier Comparison (2 min) — Switch to Liam O’Brien (S008)</w:t>
      </w:r>
    </w:p>
    <w:p>
      <w:r>
        <w:t>Switch to Liam O’Brien (Tier 0 Explorer, unverified). Show the restricted access: blurred profiles, locked contact info, upgrade prompts. Demonstrate the ComplianceFlow verification sequence. Switch to Sofia Kowalski (Tier 1 Verified, passport uploaded) to show the intermediate tier with viewing access but without full Gold benefits.</w:t>
      </w:r>
    </w:p>
    <w:p>
      <w:pPr>
        <w:pStyle w:val="Heading2"/>
      </w:pPr>
      <w:r>
        <w:t>6.4 Landlord Experience (3 min) — Switch to Ahmed Al Maktoum (L001)</w:t>
      </w:r>
    </w:p>
    <w:p>
      <w:r>
        <w:t>Switch to Ahmed Al Maktoum (Landlord, Tier 2 Gold). Show the Landlord Dashboard (/dashboard) with portfolio overview, occupancy rates, and rent ledger. Navigate to My Properties (/my-properties) to show property cards with room-level occupancy. Open the Residing Dashboard (/residing-dashboard) for property management view. Demonstrate the Add Property flow (/add-property).</w:t>
      </w:r>
    </w:p>
    <w:p>
      <w:pPr>
        <w:pStyle w:val="Heading2"/>
      </w:pPr>
      <w:r>
        <w:t>6.5 Ejari and Documents (2 min) — Switch to Priya Sharma (S001)</w:t>
      </w:r>
    </w:p>
    <w:p>
      <w:r>
        <w:t>Switch to Priya Sharma (Residing Tenant). Show her Profile with active Ejari contract displayed. Navigate to Ejari Documents (/ejari) to show the full Ejari document management page with active and historical contracts, DocuSign badges, and PDF downloads. Emphasise that NestMatch stores and displays but never drafts Ejari documents.</w:t>
      </w:r>
    </w:p>
    <w:p>
      <w:pPr>
        <w:pStyle w:val="Heading2"/>
      </w:pPr>
      <w:r>
        <w:t>6.6 Admin and Compliance (2 min) — Switch to Sara Al Hashimi (ADM001)</w:t>
      </w:r>
    </w:p>
    <w:p>
      <w:r>
        <w:t>Switch to Sara Al Hashimi (Compliance Admin). Show the Compliance page with verification status overview, KYC document review queue, and compliance metrics. Switch to Rashid Khalil (Operations Admin) to show the Customer Database with CRM-style user management and the Viewing Analytics page with conversion data.</w:t>
      </w:r>
    </w:p>
    <w:p>
      <w:r>
        <w:br w:type="page"/>
      </w:r>
    </w:p>
    <w:p>
      <w:pPr>
        <w:pStyle w:val="Heading1"/>
      </w:pPr>
      <w:r>
        <w:t>7. Recommended Improvements</w:t>
      </w:r>
    </w:p>
    <w:p>
      <w:r>
        <w:t>The following improvements are recommended before entering the next development phase. They are prioritised by impact on investor perception and user experience:</w:t>
      </w:r>
    </w:p>
    <w:p>
      <w:pPr>
        <w:pStyle w:val="Heading2"/>
      </w:pPr>
      <w:r>
        <w:t>7.1 High Priority (Before Investor Demo)</w:t>
      </w:r>
    </w:p>
    <w:p>
      <w:pPr>
        <w:pStyle w:val="ListBullet"/>
      </w:pPr>
      <w:r>
        <w:rPr>
          <w:rFonts w:ascii="Arial" w:hAnsi="Arial"/>
          <w:b/>
          <w:sz w:val="22"/>
        </w:rPr>
        <w:t xml:space="preserve">Package.json version alignment: </w:t>
      </w:r>
      <w:r>
        <w:rPr>
          <w:rFonts w:ascii="Arial" w:hAnsi="Arial"/>
          <w:sz w:val="22"/>
        </w:rPr>
        <w:t>package.json shows v1.4.0 while CHANGELOG tracks v2.13.3. Align these before the demo to avoid questions about version discrepancy.</w:t>
      </w:r>
    </w:p>
    <w:p>
      <w:pPr>
        <w:pStyle w:val="ListBullet"/>
      </w:pPr>
      <w:r>
        <w:rPr>
          <w:rFonts w:ascii="Arial" w:hAnsi="Arial"/>
          <w:b/>
          <w:sz w:val="22"/>
        </w:rPr>
        <w:t xml:space="preserve">Property images for all 12 listings: </w:t>
      </w:r>
      <w:r>
        <w:rPr>
          <w:rFonts w:ascii="Arial" w:hAnsi="Arial"/>
          <w:sz w:val="22"/>
        </w:rPr>
        <w:t>Ensure high-quality hero images are uploaded to R2 for every property. Missing images default to placeholders which weaken the demo.</w:t>
      </w:r>
    </w:p>
    <w:p>
      <w:pPr>
        <w:pStyle w:val="ListBullet"/>
      </w:pPr>
      <w:r>
        <w:rPr>
          <w:rFonts w:ascii="Arial" w:hAnsi="Arial"/>
          <w:b/>
          <w:sz w:val="22"/>
        </w:rPr>
        <w:t xml:space="preserve">Mobile responsiveness pass: </w:t>
      </w:r>
      <w:r>
        <w:rPr>
          <w:rFonts w:ascii="Arial" w:hAnsi="Arial"/>
          <w:sz w:val="22"/>
        </w:rPr>
        <w:t>Quick audit of all 25 pages on mobile viewport widths. Key pages (Browse, Listing Detail, Profile) should look polished on phone screens.</w:t>
      </w:r>
    </w:p>
    <w:p>
      <w:pPr>
        <w:pStyle w:val="Heading2"/>
      </w:pPr>
      <w:r>
        <w:t>7.2 Medium Priority (Post-Demo, Pre-Launch)</w:t>
      </w:r>
    </w:p>
    <w:p>
      <w:pPr>
        <w:pStyle w:val="ListBullet"/>
      </w:pPr>
      <w:r>
        <w:rPr>
          <w:rFonts w:ascii="Arial" w:hAnsi="Arial"/>
          <w:b/>
          <w:sz w:val="22"/>
        </w:rPr>
        <w:t xml:space="preserve">Loading states and skeleton screens: </w:t>
      </w:r>
      <w:r>
        <w:rPr>
          <w:rFonts w:ascii="Arial" w:hAnsi="Arial"/>
          <w:sz w:val="22"/>
        </w:rPr>
        <w:t>Add shimmer/skeleton loading states for API calls to replace blank screens during data fetching.</w:t>
      </w:r>
    </w:p>
    <w:p>
      <w:pPr>
        <w:pStyle w:val="ListBullet"/>
      </w:pPr>
      <w:r>
        <w:rPr>
          <w:rFonts w:ascii="Arial" w:hAnsi="Arial"/>
          <w:b/>
          <w:sz w:val="22"/>
        </w:rPr>
        <w:t xml:space="preserve">Error boundary components: </w:t>
      </w:r>
      <w:r>
        <w:rPr>
          <w:rFonts w:ascii="Arial" w:hAnsi="Arial"/>
          <w:sz w:val="22"/>
        </w:rPr>
        <w:t>Wrap major page sections in React error boundaries so a single component crash does not take down the entire page.</w:t>
      </w:r>
    </w:p>
    <w:p>
      <w:pPr>
        <w:pStyle w:val="ListBullet"/>
      </w:pPr>
      <w:r>
        <w:rPr>
          <w:rFonts w:ascii="Arial" w:hAnsi="Arial"/>
          <w:b/>
          <w:sz w:val="22"/>
        </w:rPr>
        <w:t xml:space="preserve">End-to-end test suite: </w:t>
      </w:r>
      <w:r>
        <w:rPr>
          <w:rFonts w:ascii="Arial" w:hAnsi="Arial"/>
          <w:sz w:val="22"/>
        </w:rPr>
        <w:t>Create Playwright tests for the core demo flows (registration, browsing, viewing agreement signing, Ejari document view) to prevent regression.</w:t>
      </w:r>
    </w:p>
    <w:p>
      <w:pPr>
        <w:pStyle w:val="ListBullet"/>
      </w:pPr>
      <w:r>
        <w:rPr>
          <w:rFonts w:ascii="Arial" w:hAnsi="Arial"/>
          <w:b/>
          <w:sz w:val="22"/>
        </w:rPr>
        <w:t xml:space="preserve">Backend rate limiting: </w:t>
      </w:r>
      <w:r>
        <w:rPr>
          <w:rFonts w:ascii="Arial" w:hAnsi="Arial"/>
          <w:sz w:val="22"/>
        </w:rPr>
        <w:t>Add rate limiting middleware to all public API endpoints to prevent abuse before any public-facing launch.</w:t>
      </w:r>
    </w:p>
    <w:p>
      <w:pPr>
        <w:pStyle w:val="Heading2"/>
      </w:pPr>
      <w:r>
        <w:t>7.3 Lower Priority (Phase 2C+)</w:t>
      </w:r>
    </w:p>
    <w:p>
      <w:pPr>
        <w:pStyle w:val="ListBullet"/>
      </w:pPr>
      <w:r>
        <w:rPr>
          <w:rFonts w:ascii="Arial" w:hAnsi="Arial"/>
          <w:b/>
          <w:sz w:val="22"/>
        </w:rPr>
        <w:t xml:space="preserve">DocuSign integration: </w:t>
      </w:r>
      <w:r>
        <w:rPr>
          <w:rFonts w:ascii="Arial" w:hAnsi="Arial"/>
          <w:sz w:val="22"/>
        </w:rPr>
        <w:t>Replace mock DocuSign verification with actual DocuSign API for legally binding digital signatures.</w:t>
      </w:r>
    </w:p>
    <w:p>
      <w:pPr>
        <w:pStyle w:val="ListBullet"/>
      </w:pPr>
      <w:r>
        <w:rPr>
          <w:rFonts w:ascii="Arial" w:hAnsi="Arial"/>
          <w:b/>
          <w:sz w:val="22"/>
        </w:rPr>
        <w:t xml:space="preserve">Real-time chat via WebSockets: </w:t>
      </w:r>
      <w:r>
        <w:rPr>
          <w:rFonts w:ascii="Arial" w:hAnsi="Arial"/>
          <w:sz w:val="22"/>
        </w:rPr>
        <w:t>Upgrade from polling-based chat to Cloudflare Durable Objects for real-time message delivery.</w:t>
      </w:r>
    </w:p>
    <w:p>
      <w:pPr>
        <w:pStyle w:val="ListBullet"/>
      </w:pPr>
      <w:r>
        <w:rPr>
          <w:rFonts w:ascii="Arial" w:hAnsi="Arial"/>
          <w:b/>
          <w:sz w:val="22"/>
        </w:rPr>
        <w:t xml:space="preserve">Push notifications: </w:t>
      </w:r>
      <w:r>
        <w:rPr>
          <w:rFonts w:ascii="Arial" w:hAnsi="Arial"/>
          <w:sz w:val="22"/>
        </w:rPr>
        <w:t>Web push for viewing reminders, agreement deadlines, and inbox actions.</w:t>
      </w:r>
    </w:p>
    <w:p>
      <w:pPr>
        <w:pStyle w:val="ListBullet"/>
      </w:pPr>
      <w:r>
        <w:rPr>
          <w:rFonts w:ascii="Arial" w:hAnsi="Arial"/>
          <w:b/>
          <w:sz w:val="22"/>
        </w:rPr>
        <w:t xml:space="preserve">Coming Soon listings (premium feature): </w:t>
      </w:r>
      <w:r>
        <w:rPr>
          <w:rFonts w:ascii="Arial" w:hAnsi="Arial"/>
          <w:sz w:val="22"/>
        </w:rPr>
        <w:t>Pre-market listings visible only to Tier 2 Gold users as a premium differentiator.</w:t>
      </w:r>
    </w:p>
    <w:p>
      <w:r>
        <w:br w:type="page"/>
      </w:r>
    </w:p>
    <w:p>
      <w:pPr>
        <w:pStyle w:val="Heading1"/>
      </w:pPr>
      <w:r>
        <w:t>8. Release History Summary</w:t>
      </w:r>
    </w:p>
    <w:p>
      <w:r>
        <w:t>The platform has been developed across 24 releases over 5 days (16–20 March 2026). Key milestones:</w:t>
      </w:r>
    </w:p>
    <w:p/>
    <w:tbl>
      <w:tblPr>
        <w:tblStyle w:val="TableGrid"/>
        <w:tblW w:type="auto" w:w="0"/>
        <w:jc w:val="center"/>
        <w:tblLook w:firstColumn="1" w:firstRow="1" w:lastColumn="0" w:lastRow="0" w:noHBand="0" w:noVBand="1" w:val="04A0"/>
      </w:tblPr>
      <w:tblGrid>
        <w:gridCol w:w="3249"/>
        <w:gridCol w:w="3249"/>
        <w:gridCol w:w="3249"/>
      </w:tblGrid>
      <w:tr>
        <w:tc>
          <w:tcPr>
            <w:tcW w:type="dxa" w:w="1417"/>
            <w:shd w:fill="1A365D" w:val="clear"/>
          </w:tcPr>
          <w:p>
            <w:pPr>
              <w:spacing w:after="0" w:before="0"/>
            </w:pPr>
            <w:r/>
            <w:r>
              <w:rPr>
                <w:rFonts w:ascii="Arial" w:hAnsi="Arial"/>
                <w:b/>
                <w:color w:val="FFFFFF"/>
                <w:sz w:val="20"/>
              </w:rPr>
              <w:t>Version</w:t>
            </w:r>
          </w:p>
        </w:tc>
        <w:tc>
          <w:tcPr>
            <w:tcW w:type="dxa" w:w="1417"/>
            <w:shd w:fill="1A365D" w:val="clear"/>
          </w:tcPr>
          <w:p>
            <w:pPr>
              <w:spacing w:after="0" w:before="0"/>
            </w:pPr>
            <w:r/>
            <w:r>
              <w:rPr>
                <w:rFonts w:ascii="Arial" w:hAnsi="Arial"/>
                <w:b/>
                <w:color w:val="FFFFFF"/>
                <w:sz w:val="20"/>
              </w:rPr>
              <w:t>Date</w:t>
            </w:r>
          </w:p>
        </w:tc>
        <w:tc>
          <w:tcPr>
            <w:tcW w:type="dxa" w:w="6236"/>
            <w:shd w:fill="1A365D" w:val="clear"/>
          </w:tcPr>
          <w:p>
            <w:pPr>
              <w:spacing w:after="0" w:before="0"/>
            </w:pPr>
            <w:r/>
            <w:r>
              <w:rPr>
                <w:rFonts w:ascii="Arial" w:hAnsi="Arial"/>
                <w:b/>
                <w:color w:val="FFFFFF"/>
                <w:sz w:val="20"/>
              </w:rPr>
              <w:t>Milestone</w:t>
            </w:r>
          </w:p>
        </w:tc>
      </w:tr>
      <w:tr>
        <w:tc>
          <w:tcPr>
            <w:tcW w:type="dxa" w:w="1417"/>
          </w:tcPr>
          <w:p>
            <w:pPr>
              <w:spacing w:after="0" w:before="0"/>
            </w:pPr>
            <w:r/>
            <w:r>
              <w:rPr>
                <w:rFonts w:ascii="Arial" w:hAnsi="Arial"/>
                <w:b w:val="0"/>
                <w:sz w:val="20"/>
              </w:rPr>
              <w:t>v2.0.0</w:t>
            </w:r>
          </w:p>
        </w:tc>
        <w:tc>
          <w:tcPr>
            <w:tcW w:type="dxa" w:w="1417"/>
          </w:tcPr>
          <w:p>
            <w:pPr>
              <w:spacing w:after="0" w:before="0"/>
            </w:pPr>
            <w:r/>
            <w:r>
              <w:rPr>
                <w:rFonts w:ascii="Arial" w:hAnsi="Arial"/>
                <w:b w:val="0"/>
                <w:sz w:val="20"/>
              </w:rPr>
              <w:t>16 Mar</w:t>
            </w:r>
          </w:p>
        </w:tc>
        <w:tc>
          <w:tcPr>
            <w:tcW w:type="dxa" w:w="6236"/>
          </w:tcPr>
          <w:p>
            <w:pPr>
              <w:spacing w:after="0" w:before="0"/>
            </w:pPr>
            <w:r/>
            <w:r>
              <w:rPr>
                <w:rFonts w:ascii="Arial" w:hAnsi="Arial"/>
                <w:b w:val="0"/>
                <w:sz w:val="20"/>
              </w:rPr>
              <w:t>Investor Demo Release — core platform launch</w:t>
            </w:r>
          </w:p>
        </w:tc>
      </w:tr>
      <w:tr>
        <w:tc>
          <w:tcPr>
            <w:tcW w:type="dxa" w:w="1417"/>
          </w:tcPr>
          <w:p>
            <w:pPr>
              <w:spacing w:after="0" w:before="0"/>
            </w:pPr>
            <w:r/>
            <w:r>
              <w:rPr>
                <w:rFonts w:ascii="Arial" w:hAnsi="Arial"/>
                <w:b w:val="0"/>
                <w:sz w:val="20"/>
              </w:rPr>
              <w:t>v2.1.0</w:t>
            </w:r>
          </w:p>
        </w:tc>
        <w:tc>
          <w:tcPr>
            <w:tcW w:type="dxa" w:w="1417"/>
          </w:tcPr>
          <w:p>
            <w:pPr>
              <w:spacing w:after="0" w:before="0"/>
            </w:pPr>
            <w:r/>
            <w:r>
              <w:rPr>
                <w:rFonts w:ascii="Arial" w:hAnsi="Arial"/>
                <w:b w:val="0"/>
                <w:sz w:val="20"/>
              </w:rPr>
              <w:t>16 Mar</w:t>
            </w:r>
          </w:p>
        </w:tc>
        <w:tc>
          <w:tcPr>
            <w:tcW w:type="dxa" w:w="6236"/>
          </w:tcPr>
          <w:p>
            <w:pPr>
              <w:spacing w:after="0" w:before="0"/>
            </w:pPr>
            <w:r/>
            <w:r>
              <w:rPr>
                <w:rFonts w:ascii="Arial" w:hAnsi="Arial"/>
                <w:b w:val="0"/>
                <w:sz w:val="20"/>
              </w:rPr>
              <w:t>DLD Digital Signing + Viewing Analytics</w:t>
            </w:r>
          </w:p>
        </w:tc>
      </w:tr>
      <w:tr>
        <w:tc>
          <w:tcPr>
            <w:tcW w:type="dxa" w:w="1417"/>
          </w:tcPr>
          <w:p>
            <w:pPr>
              <w:spacing w:after="0" w:before="0"/>
            </w:pPr>
            <w:r/>
            <w:r>
              <w:rPr>
                <w:rFonts w:ascii="Arial" w:hAnsi="Arial"/>
                <w:b w:val="0"/>
                <w:sz w:val="20"/>
              </w:rPr>
              <w:t>v2.4.0</w:t>
            </w:r>
          </w:p>
        </w:tc>
        <w:tc>
          <w:tcPr>
            <w:tcW w:type="dxa" w:w="1417"/>
          </w:tcPr>
          <w:p>
            <w:pPr>
              <w:spacing w:after="0" w:before="0"/>
            </w:pPr>
            <w:r/>
            <w:r>
              <w:rPr>
                <w:rFonts w:ascii="Arial" w:hAnsi="Arial"/>
                <w:b w:val="0"/>
                <w:sz w:val="20"/>
              </w:rPr>
              <w:t>16 Mar</w:t>
            </w:r>
          </w:p>
        </w:tc>
        <w:tc>
          <w:tcPr>
            <w:tcW w:type="dxa" w:w="6236"/>
          </w:tcPr>
          <w:p>
            <w:pPr>
              <w:spacing w:after="0" w:before="0"/>
            </w:pPr>
            <w:r/>
            <w:r>
              <w:rPr>
                <w:rFonts w:ascii="Arial" w:hAnsi="Arial"/>
                <w:b w:val="0"/>
                <w:sz w:val="20"/>
              </w:rPr>
              <w:t>D1 State Machines, OAuth, KYC, Occupancy, GCC Score</w:t>
            </w:r>
          </w:p>
        </w:tc>
      </w:tr>
      <w:tr>
        <w:tc>
          <w:tcPr>
            <w:tcW w:type="dxa" w:w="1417"/>
          </w:tcPr>
          <w:p>
            <w:pPr>
              <w:spacing w:after="0" w:before="0"/>
            </w:pPr>
            <w:r/>
            <w:r>
              <w:rPr>
                <w:rFonts w:ascii="Arial" w:hAnsi="Arial"/>
                <w:b w:val="0"/>
                <w:sz w:val="20"/>
              </w:rPr>
              <w:t>v2.5.0</w:t>
            </w:r>
          </w:p>
        </w:tc>
        <w:tc>
          <w:tcPr>
            <w:tcW w:type="dxa" w:w="1417"/>
          </w:tcPr>
          <w:p>
            <w:pPr>
              <w:spacing w:after="0" w:before="0"/>
            </w:pPr>
            <w:r/>
            <w:r>
              <w:rPr>
                <w:rFonts w:ascii="Arial" w:hAnsi="Arial"/>
                <w:b w:val="0"/>
                <w:sz w:val="20"/>
              </w:rPr>
              <w:t>16 Mar</w:t>
            </w:r>
          </w:p>
        </w:tc>
        <w:tc>
          <w:tcPr>
            <w:tcW w:type="dxa" w:w="6236"/>
          </w:tcPr>
          <w:p>
            <w:pPr>
              <w:spacing w:after="0" w:before="0"/>
            </w:pPr>
            <w:r/>
            <w:r>
              <w:rPr>
                <w:rFonts w:ascii="Arial" w:hAnsi="Arial"/>
                <w:b w:val="0"/>
                <w:sz w:val="20"/>
              </w:rPr>
              <w:t>Homepage Revamp + Signup Funnel + Legal Cleanup</w:t>
            </w:r>
          </w:p>
        </w:tc>
      </w:tr>
      <w:tr>
        <w:tc>
          <w:tcPr>
            <w:tcW w:type="dxa" w:w="1417"/>
          </w:tcPr>
          <w:p>
            <w:pPr>
              <w:spacing w:after="0" w:before="0"/>
            </w:pPr>
            <w:r/>
            <w:r>
              <w:rPr>
                <w:rFonts w:ascii="Arial" w:hAnsi="Arial"/>
                <w:b w:val="0"/>
                <w:sz w:val="20"/>
              </w:rPr>
              <w:t>v2.7.0</w:t>
            </w:r>
          </w:p>
        </w:tc>
        <w:tc>
          <w:tcPr>
            <w:tcW w:type="dxa" w:w="1417"/>
          </w:tcPr>
          <w:p>
            <w:pPr>
              <w:spacing w:after="0" w:before="0"/>
            </w:pPr>
            <w:r/>
            <w:r>
              <w:rPr>
                <w:rFonts w:ascii="Arial" w:hAnsi="Arial"/>
                <w:b w:val="0"/>
                <w:sz w:val="20"/>
              </w:rPr>
              <w:t>17 Mar</w:t>
            </w:r>
          </w:p>
        </w:tc>
        <w:tc>
          <w:tcPr>
            <w:tcW w:type="dxa" w:w="6236"/>
          </w:tcPr>
          <w:p>
            <w:pPr>
              <w:spacing w:after="0" w:before="0"/>
            </w:pPr>
            <w:r/>
            <w:r>
              <w:rPr>
                <w:rFonts w:ascii="Arial" w:hAnsi="Arial"/>
                <w:b w:val="0"/>
                <w:sz w:val="20"/>
              </w:rPr>
              <w:t>Legal Pages + My Properties + Backend Deploy</w:t>
            </w:r>
          </w:p>
        </w:tc>
      </w:tr>
      <w:tr>
        <w:tc>
          <w:tcPr>
            <w:tcW w:type="dxa" w:w="1417"/>
          </w:tcPr>
          <w:p>
            <w:pPr>
              <w:spacing w:after="0" w:before="0"/>
            </w:pPr>
            <w:r/>
            <w:r>
              <w:rPr>
                <w:rFonts w:ascii="Arial" w:hAnsi="Arial"/>
                <w:b w:val="0"/>
                <w:sz w:val="20"/>
              </w:rPr>
              <w:t>v2.8.0</w:t>
            </w:r>
          </w:p>
        </w:tc>
        <w:tc>
          <w:tcPr>
            <w:tcW w:type="dxa" w:w="1417"/>
          </w:tcPr>
          <w:p>
            <w:pPr>
              <w:spacing w:after="0" w:before="0"/>
            </w:pPr>
            <w:r/>
            <w:r>
              <w:rPr>
                <w:rFonts w:ascii="Arial" w:hAnsi="Arial"/>
                <w:b w:val="0"/>
                <w:sz w:val="20"/>
              </w:rPr>
              <w:t>17 Mar</w:t>
            </w:r>
          </w:p>
        </w:tc>
        <w:tc>
          <w:tcPr>
            <w:tcW w:type="dxa" w:w="6236"/>
          </w:tcPr>
          <w:p>
            <w:pPr>
              <w:spacing w:after="0" w:before="0"/>
            </w:pPr>
            <w:r/>
            <w:r>
              <w:rPr>
                <w:rFonts w:ascii="Arial" w:hAnsi="Arial"/>
                <w:b w:val="0"/>
                <w:sz w:val="20"/>
              </w:rPr>
              <w:t>Property Images + Compliance Fix + Full D1 Seed</w:t>
            </w:r>
          </w:p>
        </w:tc>
      </w:tr>
      <w:tr>
        <w:tc>
          <w:tcPr>
            <w:tcW w:type="dxa" w:w="1417"/>
          </w:tcPr>
          <w:p>
            <w:pPr>
              <w:spacing w:after="0" w:before="0"/>
            </w:pPr>
            <w:r/>
            <w:r>
              <w:rPr>
                <w:rFonts w:ascii="Arial" w:hAnsi="Arial"/>
                <w:b w:val="0"/>
                <w:sz w:val="20"/>
              </w:rPr>
              <w:t>v2.9.0</w:t>
            </w:r>
          </w:p>
        </w:tc>
        <w:tc>
          <w:tcPr>
            <w:tcW w:type="dxa" w:w="1417"/>
          </w:tcPr>
          <w:p>
            <w:pPr>
              <w:spacing w:after="0" w:before="0"/>
            </w:pPr>
            <w:r/>
            <w:r>
              <w:rPr>
                <w:rFonts w:ascii="Arial" w:hAnsi="Arial"/>
                <w:b w:val="0"/>
                <w:sz w:val="20"/>
              </w:rPr>
              <w:t>17 Mar</w:t>
            </w:r>
          </w:p>
        </w:tc>
        <w:tc>
          <w:tcPr>
            <w:tcW w:type="dxa" w:w="6236"/>
          </w:tcPr>
          <w:p>
            <w:pPr>
              <w:spacing w:after="0" w:before="0"/>
            </w:pPr>
            <w:r/>
            <w:r>
              <w:rPr>
                <w:rFonts w:ascii="Arial" w:hAnsi="Arial"/>
                <w:b w:val="0"/>
                <w:sz w:val="20"/>
              </w:rPr>
              <w:t>Seed Viewings + Data Governance Framework</w:t>
            </w:r>
          </w:p>
        </w:tc>
      </w:tr>
      <w:tr>
        <w:tc>
          <w:tcPr>
            <w:tcW w:type="dxa" w:w="1417"/>
          </w:tcPr>
          <w:p>
            <w:pPr>
              <w:spacing w:after="0" w:before="0"/>
            </w:pPr>
            <w:r/>
            <w:r>
              <w:rPr>
                <w:rFonts w:ascii="Arial" w:hAnsi="Arial"/>
                <w:b w:val="0"/>
                <w:sz w:val="20"/>
              </w:rPr>
              <w:t>v2.10.0</w:t>
            </w:r>
          </w:p>
        </w:tc>
        <w:tc>
          <w:tcPr>
            <w:tcW w:type="dxa" w:w="1417"/>
          </w:tcPr>
          <w:p>
            <w:pPr>
              <w:spacing w:after="0" w:before="0"/>
            </w:pPr>
            <w:r/>
            <w:r>
              <w:rPr>
                <w:rFonts w:ascii="Arial" w:hAnsi="Arial"/>
                <w:b w:val="0"/>
                <w:sz w:val="20"/>
              </w:rPr>
              <w:t>19 Mar</w:t>
            </w:r>
          </w:p>
        </w:tc>
        <w:tc>
          <w:tcPr>
            <w:tcW w:type="dxa" w:w="6236"/>
          </w:tcPr>
          <w:p>
            <w:pPr>
              <w:spacing w:after="0" w:before="0"/>
            </w:pPr>
            <w:r/>
            <w:r>
              <w:rPr>
                <w:rFonts w:ascii="Arial" w:hAnsi="Arial"/>
                <w:b w:val="0"/>
                <w:sz w:val="20"/>
              </w:rPr>
              <w:t>ComplianceFlow 6-Step Verification</w:t>
            </w:r>
          </w:p>
        </w:tc>
      </w:tr>
      <w:tr>
        <w:tc>
          <w:tcPr>
            <w:tcW w:type="dxa" w:w="1417"/>
          </w:tcPr>
          <w:p>
            <w:pPr>
              <w:spacing w:after="0" w:before="0"/>
            </w:pPr>
            <w:r/>
            <w:r>
              <w:rPr>
                <w:rFonts w:ascii="Arial" w:hAnsi="Arial"/>
                <w:b w:val="0"/>
                <w:sz w:val="20"/>
              </w:rPr>
              <w:t>v2.11.0</w:t>
            </w:r>
          </w:p>
        </w:tc>
        <w:tc>
          <w:tcPr>
            <w:tcW w:type="dxa" w:w="1417"/>
          </w:tcPr>
          <w:p>
            <w:pPr>
              <w:spacing w:after="0" w:before="0"/>
            </w:pPr>
            <w:r/>
            <w:r>
              <w:rPr>
                <w:rFonts w:ascii="Arial" w:hAnsi="Arial"/>
                <w:b w:val="0"/>
                <w:sz w:val="20"/>
              </w:rPr>
              <w:t>19 Mar</w:t>
            </w:r>
          </w:p>
        </w:tc>
        <w:tc>
          <w:tcPr>
            <w:tcW w:type="dxa" w:w="6236"/>
          </w:tcPr>
          <w:p>
            <w:pPr>
              <w:spacing w:after="0" w:before="0"/>
            </w:pPr>
            <w:r/>
            <w:r>
              <w:rPr>
                <w:rFonts w:ascii="Arial" w:hAnsi="Arial"/>
                <w:b w:val="0"/>
                <w:sz w:val="20"/>
              </w:rPr>
              <w:t>Inbox System — Phase 2B</w:t>
            </w:r>
          </w:p>
        </w:tc>
      </w:tr>
      <w:tr>
        <w:tc>
          <w:tcPr>
            <w:tcW w:type="dxa" w:w="1417"/>
          </w:tcPr>
          <w:p>
            <w:pPr>
              <w:spacing w:after="0" w:before="0"/>
            </w:pPr>
            <w:r/>
            <w:r>
              <w:rPr>
                <w:rFonts w:ascii="Arial" w:hAnsi="Arial"/>
                <w:b w:val="0"/>
                <w:sz w:val="20"/>
              </w:rPr>
              <w:t>v2.12.0</w:t>
            </w:r>
          </w:p>
        </w:tc>
        <w:tc>
          <w:tcPr>
            <w:tcW w:type="dxa" w:w="1417"/>
          </w:tcPr>
          <w:p>
            <w:pPr>
              <w:spacing w:after="0" w:before="0"/>
            </w:pPr>
            <w:r/>
            <w:r>
              <w:rPr>
                <w:rFonts w:ascii="Arial" w:hAnsi="Arial"/>
                <w:b w:val="0"/>
                <w:sz w:val="20"/>
              </w:rPr>
              <w:t>19 Mar</w:t>
            </w:r>
          </w:p>
        </w:tc>
        <w:tc>
          <w:tcPr>
            <w:tcW w:type="dxa" w:w="6236"/>
          </w:tcPr>
          <w:p>
            <w:pPr>
              <w:spacing w:after="0" w:before="0"/>
            </w:pPr>
            <w:r/>
            <w:r>
              <w:rPr>
                <w:rFonts w:ascii="Arial" w:hAnsi="Arial"/>
                <w:b w:val="0"/>
                <w:sz w:val="20"/>
              </w:rPr>
              <w:t>Ejari Document Storage + CORS + Auth Fixes</w:t>
            </w:r>
          </w:p>
        </w:tc>
      </w:tr>
      <w:tr>
        <w:tc>
          <w:tcPr>
            <w:tcW w:type="dxa" w:w="1417"/>
          </w:tcPr>
          <w:p>
            <w:pPr>
              <w:spacing w:after="0" w:before="0"/>
            </w:pPr>
            <w:r/>
            <w:r>
              <w:rPr>
                <w:rFonts w:ascii="Arial" w:hAnsi="Arial"/>
                <w:b w:val="0"/>
                <w:sz w:val="20"/>
              </w:rPr>
              <w:t>v2.13.0</w:t>
            </w:r>
          </w:p>
        </w:tc>
        <w:tc>
          <w:tcPr>
            <w:tcW w:type="dxa" w:w="1417"/>
          </w:tcPr>
          <w:p>
            <w:pPr>
              <w:spacing w:after="0" w:before="0"/>
            </w:pPr>
            <w:r/>
            <w:r>
              <w:rPr>
                <w:rFonts w:ascii="Arial" w:hAnsi="Arial"/>
                <w:b w:val="0"/>
                <w:sz w:val="20"/>
              </w:rPr>
              <w:t>20 Mar</w:t>
            </w:r>
          </w:p>
        </w:tc>
        <w:tc>
          <w:tcPr>
            <w:tcW w:type="dxa" w:w="6236"/>
          </w:tcPr>
          <w:p>
            <w:pPr>
              <w:spacing w:after="0" w:before="0"/>
            </w:pPr>
            <w:r/>
            <w:r>
              <w:rPr>
                <w:rFonts w:ascii="Arial" w:hAnsi="Arial"/>
                <w:b w:val="0"/>
                <w:sz w:val="20"/>
              </w:rPr>
              <w:t>ID Format Migration (48+ columns, 22 tables)</w:t>
            </w:r>
          </w:p>
        </w:tc>
      </w:tr>
      <w:tr>
        <w:tc>
          <w:tcPr>
            <w:tcW w:type="dxa" w:w="1417"/>
          </w:tcPr>
          <w:p>
            <w:pPr>
              <w:spacing w:after="0" w:before="0"/>
            </w:pPr>
            <w:r/>
            <w:r>
              <w:rPr>
                <w:rFonts w:ascii="Arial" w:hAnsi="Arial"/>
                <w:b w:val="0"/>
                <w:sz w:val="20"/>
              </w:rPr>
              <w:t>v2.13.3</w:t>
            </w:r>
          </w:p>
        </w:tc>
        <w:tc>
          <w:tcPr>
            <w:tcW w:type="dxa" w:w="1417"/>
          </w:tcPr>
          <w:p>
            <w:pPr>
              <w:spacing w:after="0" w:before="0"/>
            </w:pPr>
            <w:r/>
            <w:r>
              <w:rPr>
                <w:rFonts w:ascii="Arial" w:hAnsi="Arial"/>
                <w:b w:val="0"/>
                <w:sz w:val="20"/>
              </w:rPr>
              <w:t>20 Mar</w:t>
            </w:r>
          </w:p>
        </w:tc>
        <w:tc>
          <w:tcPr>
            <w:tcW w:type="dxa" w:w="6236"/>
          </w:tcPr>
          <w:p>
            <w:pPr>
              <w:spacing w:after="0" w:before="0"/>
            </w:pPr>
            <w:r/>
            <w:r>
              <w:rPr>
                <w:rFonts w:ascii="Arial" w:hAnsi="Arial"/>
                <w:b w:val="0"/>
                <w:sz w:val="20"/>
              </w:rPr>
              <w:t>DocuSign Banners + PDF Downloads + Gov Templates</w:t>
            </w:r>
          </w:p>
        </w:tc>
      </w:tr>
    </w:tbl>
    <w:p>
      <w:r>
        <w:br w:type="page"/>
      </w:r>
    </w:p>
    <w:p>
      <w:pPr>
        <w:pStyle w:val="Heading1"/>
      </w:pPr>
      <w:r>
        <w:t>9. Development Signoff Request</w:t>
      </w:r>
    </w:p>
    <w:p>
      <w:r>
        <w:t>Based on the comprehensive development completed across 24 releases, the full compliance verification, and the demo-ready state of the platform, this report formally requests signoff on the development stage (Gate G6 — Pre-Demo).</w:t>
      </w:r>
    </w:p>
    <w:p>
      <w:r>
        <w:t>All originally scoped features have been delivered. The platform is live on production infrastructure with zero compliance violations. The canonical data model is locked, state machines are fully implemented with audit logging, and government-template PDF documents are generated for all viewing agreements and Ejari contracts.</w:t>
      </w:r>
    </w:p>
    <w:p>
      <w:r>
        <w:t>Upon signoff, the recommended next steps are: QA testing of all demo flows, the minor UI improvements listed in Section 7.1, and then progression to Phase 2C (DocuSign integration) pending the investor demo outcome.</w:t>
      </w:r>
    </w:p>
    <w:p/>
    <w:p/>
    <w:tbl>
      <w:tblPr>
        <w:tblW w:type="auto" w:w="0"/>
        <w:tblLook w:firstColumn="1" w:firstRow="1" w:lastColumn="0" w:lastRow="0" w:noHBand="0" w:noVBand="1" w:val="04A0"/>
      </w:tblPr>
      <w:tblGrid>
        <w:gridCol w:w="4873"/>
        <w:gridCol w:w="4873"/>
      </w:tblGrid>
      <w:tr>
        <w:tc>
          <w:tcPr>
            <w:tcW w:type="dxa" w:w="4873"/>
            <w:tcBorders>
              <w:top w:val="none" w:sz="0"/>
              <w:left w:val="none" w:sz="0"/>
              <w:bottom w:val="none" w:sz="0"/>
              <w:right w:val="none" w:sz="0"/>
            </w:tcBorders>
          </w:tcPr>
          <w:p>
            <w:pPr>
              <w:spacing w:after="0" w:before="0"/>
            </w:pPr>
            <w:r/>
            <w:r>
              <w:rPr>
                <w:rFonts w:ascii="Arial" w:hAnsi="Arial"/>
                <w:b w:val="0"/>
                <w:sz w:val="20"/>
              </w:rPr>
              <w:t>________________________________________</w:t>
            </w:r>
          </w:p>
        </w:tc>
        <w:tc>
          <w:tcPr>
            <w:tcW w:type="dxa" w:w="4873"/>
            <w:tcBorders>
              <w:top w:val="none" w:sz="0"/>
              <w:left w:val="none" w:sz="0"/>
              <w:bottom w:val="none" w:sz="0"/>
              <w:right w:val="none" w:sz="0"/>
            </w:tcBorders>
          </w:tcPr>
          <w:p>
            <w:pPr>
              <w:spacing w:after="0" w:before="0"/>
            </w:pPr>
            <w:r/>
            <w:r>
              <w:rPr>
                <w:rFonts w:ascii="Arial" w:hAnsi="Arial"/>
                <w:b w:val="0"/>
                <w:sz w:val="20"/>
              </w:rPr>
              <w:t>________________________________________</w:t>
            </w:r>
          </w:p>
        </w:tc>
      </w:tr>
      <w:tr>
        <w:tc>
          <w:tcPr>
            <w:tcW w:type="dxa" w:w="4873"/>
            <w:tcBorders>
              <w:top w:val="none" w:sz="0"/>
              <w:left w:val="none" w:sz="0"/>
              <w:bottom w:val="none" w:sz="0"/>
              <w:right w:val="none" w:sz="0"/>
            </w:tcBorders>
          </w:tcPr>
          <w:p>
            <w:pPr>
              <w:spacing w:after="0" w:before="0"/>
            </w:pPr>
            <w:r/>
            <w:r>
              <w:rPr>
                <w:rFonts w:ascii="Arial" w:hAnsi="Arial"/>
                <w:b w:val="0"/>
                <w:color w:val="666666"/>
                <w:sz w:val="20"/>
              </w:rPr>
              <w:t>Product Director</w:t>
            </w:r>
          </w:p>
        </w:tc>
        <w:tc>
          <w:tcPr>
            <w:tcW w:type="dxa" w:w="4873"/>
            <w:tcBorders>
              <w:top w:val="none" w:sz="0"/>
              <w:left w:val="none" w:sz="0"/>
              <w:bottom w:val="none" w:sz="0"/>
              <w:right w:val="none" w:sz="0"/>
            </w:tcBorders>
          </w:tcPr>
          <w:p>
            <w:pPr>
              <w:spacing w:after="0" w:before="0"/>
            </w:pPr>
            <w:r/>
            <w:r>
              <w:rPr>
                <w:rFonts w:ascii="Arial" w:hAnsi="Arial"/>
                <w:b w:val="0"/>
                <w:color w:val="666666"/>
                <w:sz w:val="20"/>
              </w:rPr>
              <w:t>Technical Lead</w:t>
            </w:r>
          </w:p>
        </w:tc>
      </w:tr>
      <w:tr>
        <w:tc>
          <w:tcPr>
            <w:tcW w:type="dxa" w:w="4873"/>
            <w:tcBorders>
              <w:top w:val="none" w:sz="0"/>
              <w:left w:val="none" w:sz="0"/>
              <w:bottom w:val="none" w:sz="0"/>
              <w:right w:val="none" w:sz="0"/>
            </w:tcBorders>
          </w:tcPr>
          <w:p>
            <w:pPr>
              <w:spacing w:after="0" w:before="0"/>
            </w:pPr>
            <w:r/>
            <w:r>
              <w:rPr>
                <w:rFonts w:ascii="Arial" w:hAnsi="Arial"/>
                <w:b w:val="0"/>
                <w:color w:val="666666"/>
                <w:sz w:val="20"/>
              </w:rPr>
              <w:t>Date: _______________</w:t>
            </w:r>
          </w:p>
        </w:tc>
        <w:tc>
          <w:tcPr>
            <w:tcW w:type="dxa" w:w="4873"/>
            <w:tcBorders>
              <w:top w:val="none" w:sz="0"/>
              <w:left w:val="none" w:sz="0"/>
              <w:bottom w:val="none" w:sz="0"/>
              <w:right w:val="none" w:sz="0"/>
            </w:tcBorders>
          </w:tcPr>
          <w:p>
            <w:pPr>
              <w:spacing w:after="0" w:before="0"/>
            </w:pPr>
            <w:r/>
            <w:r>
              <w:rPr>
                <w:rFonts w:ascii="Arial" w:hAnsi="Arial"/>
                <w:b w:val="0"/>
                <w:color w:val="666666"/>
                <w:sz w:val="20"/>
              </w:rPr>
              <w:t>Date: _______________</w:t>
            </w:r>
          </w:p>
        </w:tc>
      </w:tr>
    </w:tbl>
    <w:p/>
    <w:p>
      <w:pPr>
        <w:jc w:val="center"/>
      </w:pPr>
      <w:r>
        <w:rPr>
          <w:rFonts w:ascii="Arial" w:hAnsi="Arial"/>
          <w:i/>
          <w:color w:val="9CA3AF"/>
          <w:sz w:val="20"/>
        </w:rPr>
        <w:t>— End of Report —</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365D"/>
      <w:sz w:val="4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D5F8A"/>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7415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