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mplianceTitle"/>
      </w:pPr>
      <w:r>
        <w:t>合规文档审核报告</w:t>
      </w:r>
    </w:p>
    <w:p>
      <w:pPr>
        <w:pStyle w:val="ComplianceSubtitle"/>
      </w:pPr>
      <w:r>
        <w:t>工程演示报告 / 供人工复核 / 不构成法律意见或法定认证</w:t>
      </w:r>
    </w:p>
    <w:p>
      <w:pPr>
        <w:pStyle w:val="ComplianceBody"/>
      </w:pPr>
      <w:r>
        <w:rPr>
          <w:b w:val="on"/>
        </w:rPr>
        <w:t>文档：</w:t>
      </w:r>
      <w:r>
        <w:t>contract-v2-risky（版本 2）</w:t>
      </w:r>
    </w:p>
    <w:p>
      <w:pPr>
        <w:pStyle w:val="ComplianceBody"/>
      </w:pPr>
      <w:r>
        <w:rPr>
          <w:b w:val="on"/>
        </w:rPr>
        <w:t>审核运行：</w:t>
      </w:r>
      <w:r>
        <w:t>REV-5B1F31D3A0284453</w:t>
      </w:r>
    </w:p>
    <w:p>
      <w:pPr>
        <w:pStyle w:val="ComplianceBody"/>
      </w:pPr>
      <w:r>
        <w:rPr>
          <w:b w:val="on"/>
        </w:rPr>
        <w:t>租户：</w:t>
      </w:r>
      <w:r>
        <w:t>tenant-a</w:t>
      </w:r>
    </w:p>
    <w:p>
      <w:pPr>
        <w:pStyle w:val="ComplianceBody"/>
      </w:pPr>
      <w:r>
        <w:rPr>
          <w:b w:val="on"/>
        </w:rPr>
        <w:t>规则包：</w:t>
      </w:r>
      <w:r>
        <w:t>1.0.0</w:t>
      </w:r>
    </w:p>
    <w:p>
      <w:pPr>
        <w:pStyle w:val="ComplianceBody"/>
      </w:pPr>
      <w:r>
        <w:rPr>
          <w:b w:val="on"/>
        </w:rPr>
        <w:t>模型模式：</w:t>
      </w:r>
      <w:r>
        <w:t>mock（仅组织工具结果）</w:t>
      </w:r>
    </w:p>
    <w:p>
      <w:pPr>
        <w:pStyle w:val="ComplianceBody"/>
      </w:pPr>
      <w:r>
        <w:rPr>
          <w:b w:val="on"/>
        </w:rPr>
        <w:t>报告版本：</w:t>
      </w:r>
      <w:r>
        <w:t>v1</w:t>
      </w:r>
    </w:p>
    <w:p>
      <w:pPr>
        <w:pStyle w:val="ComplianceBody"/>
      </w:pPr>
      <w:r>
        <w:rPr>
          <w:b w:val="on"/>
        </w:rPr>
        <w:t>生成时间：</w:t>
      </w:r>
      <w:r>
        <w:t>2026-07-20 04:43:26</w:t>
      </w:r>
    </w:p>
    <w:p>
      <w:pPr>
        <w:pStyle w:val="ComplianceH1"/>
        <w:keepNext w:val="on"/>
      </w:pPr>
      <w:r>
        <w:t>1. 审核摘要</w:t>
      </w:r>
    </w:p>
    <w:p>
      <w:pPr>
        <w:pStyle w:val="ComplianceBody"/>
        <w:shd w:fill="F4F6F9"/>
      </w:pPr>
      <w:r>
        <w:rPr>
          <w:b w:val="on"/>
        </w:rPr>
        <w:t>规则初筛命中 1 项，初始综合分 25，等级中。人工复核结论另行记录。</w:t>
      </w:r>
    </w:p>
    <w:p>
      <w:pPr>
        <w:pStyle w:val="ComplianceBody"/>
      </w:pPr>
      <w:r>
        <w:t>本报告中的法规均来自仓库内明确标注的脱敏演示法规集，不代表权威法规原文。任何风险结论均需由具备相应职责的审核人确认。</w:t>
      </w:r>
    </w:p>
    <w:p>
      <w:pPr>
        <w:pStyle w:val="ComplianceH1"/>
        <w:keepNext w:val="on"/>
      </w:pPr>
      <w:r>
        <w:t>2. 风险与证据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850"/>
        <w:gridCol w:w="1100"/>
        <w:gridCol w:w="1900"/>
        <w:gridCol w:w="3260"/>
        <w:gridCol w:w="2250"/>
      </w:tblGrid>
      <w:tr>
        <w:trPr>
          <w:tblHeader w:val="on"/>
          <w:cantSplit w:val="on"/>
        </w:trPr>
        <w:tc>
          <w:tcPr>
            <w:tcW w:type="dxa" w:w="85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等级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状态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风险项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证据与定位</w:t>
            </w:r>
          </w:p>
        </w:tc>
        <w:tc>
          <w:tcPr>
            <w:tcW w:type="dxa" w:w="225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建议 / 人工意见</w:t>
            </w:r>
          </w:p>
        </w:tc>
      </w:tr>
      <w:tr>
        <w:trPr>
          <w:cantSplit w:val="on"/>
        </w:trPr>
        <w:tc>
          <w:tcPr>
            <w:tcW w:type="dxa" w:w="85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高</w:t>
            </w:r>
          </w:p>
        </w:tc>
        <w:tc>
          <w:tcPr>
            <w:tcW w:type="dxa" w:w="1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已解决</w:t>
            </w:r>
          </w:p>
        </w:tc>
        <w:tc>
          <w:tcPr>
            <w:tcW w:type="dxa" w:w="19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禁止无限连带责任表述
R-CON-003
检测到「禁止无限连带责任表述」相关风险表述，建议法务复核。</w:t>
            </w:r>
          </w:p>
        </w:tc>
        <w:tc>
          <w:tcPr>
            <w:tcW w:type="dxa" w:w="32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9 段 / 字符 147-151
无限责任</w:t>
            </w:r>
          </w:p>
        </w:tc>
        <w:tc>
          <w:tcPr>
            <w:tcW w:type="dxa" w:w="225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请结合规则「禁止无限连带责任表述」人工复核并修订。
人工意见：自动验收：确认命中原文与规则，需要整改。</w:t>
            </w:r>
          </w:p>
        </w:tc>
      </w:tr>
    </w:tbl>
    <w:p>
      <w:pPr>
        <w:pStyle w:val="ComplianceH1"/>
        <w:keepNext w:val="on"/>
      </w:pPr>
      <w:r>
        <w:t>3. 法规 / 内规依据</w:t>
      </w:r>
    </w:p>
    <w:p>
      <w:pPr>
        <w:pStyle w:val="ComplianceH3"/>
        <w:keepNext w:val="on"/>
      </w:pPr>
      <w:r>
        <w:t>DEMO-CONTRACT-LIABILITY-001 - 演示合同责任边界规范</w:t>
      </w:r>
    </w:p>
    <w:p>
      <w:pPr>
        <w:pStyle w:val="ComplianceBody"/>
      </w:pPr>
      <w:r>
        <w:t>Compliance Doc Agent 脱敏演示法规集（非权威） 第18条；版本 DEMO-2026.1；生效 2026-01-01；适用范围 CONTRACT。</w:t>
      </w:r>
    </w:p>
    <w:p>
      <w:pPr>
        <w:pStyle w:val="ComplianceBody"/>
      </w:pPr>
      <w:r>
        <w:t>命中摘录：工程演示条款：责任限制与免责表述应明确、对等，不应以无限责任、免除全部责任或放弃追索替代具体责任边界。</w:t>
      </w:r>
    </w:p>
    <w:p>
      <w:pPr>
        <w:pStyle w:val="ComplianceH1"/>
        <w:keepNext w:val="on"/>
      </w:pPr>
      <w:r>
        <w:t>4. 关键实体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1700"/>
        <w:gridCol w:w="3100"/>
        <w:gridCol w:w="2860"/>
        <w:gridCol w:w="1700"/>
      </w:tblGrid>
      <w:tr>
        <w:trPr>
          <w:tblHeader w:val="on"/>
          <w:cantSplit w:val="on"/>
        </w:trPr>
        <w:tc>
          <w:tcPr>
            <w:tcW w:type="dxa" w:w="17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类型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值</w:t>
            </w:r>
          </w:p>
        </w:tc>
        <w:tc>
          <w:tcPr>
            <w:tcW w:type="dxa" w:w="286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原文定位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pStyle w:val="ComplianceTable"/>
            </w:pPr>
            <w:r>
              <w:rPr>
                <w:b w:val="on"/>
              </w:rPr>
              <w:t>置信度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主体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虚构甲方科技有限公司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2 段 / 字符 31-41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92%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主体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虚构乙方服务有限公司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3 段 / 字符 45-55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92%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金额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人民币 128000 元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4 段 / 字符 61-73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94%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日期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2026-08-01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5 段 / 字符 80-90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96%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责任义务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承担保密义务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6 段 / 字符 100-106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80%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责任义务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应当承担无限责任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9 段 / 字符 143-151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80%</w:t>
            </w:r>
          </w:p>
        </w:tc>
      </w:tr>
      <w:tr>
        <w:trPr>
          <w:cantSplit w:val="on"/>
        </w:trPr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自动续期</w:t>
            </w:r>
          </w:p>
        </w:tc>
        <w:tc>
          <w:tcPr>
            <w:tcW w:type="dxa" w:w="31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自动续期</w:t>
            </w:r>
          </w:p>
        </w:tc>
        <w:tc>
          <w:tcPr>
            <w:tcW w:type="dxa" w:w="286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第 1 页 / 第 10 段 / 字符 157-161</w:t>
            </w:r>
          </w:p>
        </w:tc>
        <w:tc>
          <w:tcPr>
            <w:tcW w:type="dxa" w:w="1700"/>
            <w:vAlign w:val="center"/>
          </w:tcPr>
          <w:p>
            <w:pPr>
              <w:pStyle w:val="ComplianceTable"/>
            </w:pPr>
            <w:r>
              <w:rPr>
                <w:b w:val="off"/>
              </w:rPr>
              <w:t>90%</w:t>
            </w:r>
          </w:p>
        </w:tc>
      </w:tr>
    </w:tbl>
    <w:p>
      <w:pPr>
        <w:pStyle w:val="ComplianceH1"/>
        <w:keepNext w:val="on"/>
      </w:pPr>
      <w:r>
        <w:t>5. 整改与复审</w:t>
      </w:r>
    </w:p>
    <w:tbl>
      <w:tblPr>
        <w:tblW w:w="9360" w:type="dxa"/>
        <w:jc w:val="start"/>
        <w:tblInd w:type="dxa" w:w="120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  <w:tblCellMar>
          <w:top w:type="dxa" w:w="50"/>
          <w:start w:type="dxa" w:w="100"/>
          <w:bottom w:type="dxa" w:w="50"/>
          <w:end w:type="dxa" w:w="100"/>
        </w:tblCellMar>
      </w:tblPr>
      <w:tblGrid>
        <w:gridCol w:w="1400"/>
        <w:gridCol w:w="720"/>
        <w:gridCol w:w="1600"/>
        <w:gridCol w:w="2080"/>
        <w:gridCol w:w="3560"/>
      </w:tblGrid>
      <w:tr>
        <w:trPr>
          <w:tblHeader w:val="on"/>
          <w:cantSplit w:val="on"/>
        </w:trPr>
        <w:tc>
          <w:tcPr>
            <w:tcW w:type="dxa" w:w="1400"/>
            <w:shd w:fill="F2F4F7"/>
            <w:vAlign w:val="center"/>
          </w:tcPr>
          <w:p>
            <w:pPr>
              <w:pStyle w:val="ComplianceTableCompact"/>
            </w:pPr>
            <w:r>
              <w:rPr>
                <w:b w:val="on"/>
              </w:rPr>
              <w:t>任务</w:t>
            </w:r>
          </w:p>
        </w:tc>
        <w:tc>
          <w:tcPr>
            <w:tcW w:type="dxa" w:w="720"/>
            <w:shd w:fill="F2F4F7"/>
            <w:vAlign w:val="center"/>
          </w:tcPr>
          <w:p>
            <w:pPr>
              <w:pStyle w:val="ComplianceTableCompact"/>
            </w:pPr>
            <w:r>
              <w:rPr>
                <w:b w:val="on"/>
              </w:rPr>
              <w:t>状态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pStyle w:val="ComplianceTableCompact"/>
            </w:pPr>
            <w:r>
              <w:rPr>
                <w:b w:val="on"/>
              </w:rPr>
              <w:t>负责人 / 截止</w:t>
            </w:r>
          </w:p>
        </w:tc>
        <w:tc>
          <w:tcPr>
            <w:tcW w:type="dxa" w:w="2080"/>
            <w:shd w:fill="F2F4F7"/>
            <w:vAlign w:val="center"/>
          </w:tcPr>
          <w:p>
            <w:pPr>
              <w:pStyle w:val="ComplianceTableCompact"/>
            </w:pPr>
            <w:r>
              <w:rPr>
                <w:b w:val="on"/>
              </w:rPr>
              <w:t>整改要求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pStyle w:val="ComplianceTableCompact"/>
            </w:pPr>
            <w:r>
              <w:rPr>
                <w:b w:val="on"/>
              </w:rPr>
              <w:t>证据 / 复审意见</w:t>
            </w:r>
          </w:p>
        </w:tc>
      </w:tr>
      <w:tr>
        <w:trPr>
          <w:cantSplit w:val="on"/>
        </w:trPr>
        <w:tc>
          <w:tcPr>
            <w:tcW w:type="dxa" w:w="1400"/>
            <w:vAlign w:val="center"/>
          </w:tcPr>
          <w:p>
            <w:pPr>
              <w:pStyle w:val="ComplianceTableCompact"/>
            </w:pPr>
            <w:r>
              <w:rPr>
                <w:b w:val="off"/>
              </w:rPr>
              <w:t>TASK-D8FEDEA3E9DE435D</w:t>
            </w:r>
          </w:p>
        </w:tc>
        <w:tc>
          <w:tcPr>
            <w:tcW w:type="dxa" w:w="720"/>
            <w:vAlign w:val="center"/>
          </w:tcPr>
          <w:p>
            <w:pPr>
              <w:pStyle w:val="ComplianceTableCompact"/>
            </w:pPr>
            <w:r>
              <w:rPr>
                <w:b w:val="off"/>
              </w:rPr>
              <w:t>已关闭</w:t>
            </w:r>
          </w:p>
        </w:tc>
        <w:tc>
          <w:tcPr>
            <w:tcW w:type="dxa" w:w="1600"/>
            <w:vAlign w:val="center"/>
          </w:tcPr>
          <w:p>
            <w:pPr>
              <w:pStyle w:val="ComplianceTableCompact"/>
            </w:pPr>
            <w:r>
              <w:rPr>
                <w:b w:val="off"/>
              </w:rPr>
              <w:t>user@demo.local
2026-07-27</w:t>
            </w:r>
          </w:p>
        </w:tc>
        <w:tc>
          <w:tcPr>
            <w:tcW w:type="dxa" w:w="2080"/>
            <w:vAlign w:val="center"/>
          </w:tcPr>
          <w:p>
            <w:pPr>
              <w:pStyle w:val="ComplianceTableCompact"/>
            </w:pPr>
            <w:r>
              <w:rPr>
                <w:b w:val="off"/>
              </w:rPr>
              <w:t>自动验收：删除无限责任表述，并补充对等责任上限。</w:t>
            </w:r>
          </w:p>
        </w:tc>
        <w:tc>
          <w:tcPr>
            <w:tcW w:type="dxa" w:w="3560"/>
            <w:vAlign w:val="center"/>
          </w:tcPr>
          <w:p>
            <w:pPr>
              <w:pStyle w:val="ComplianceTableCompact"/>
            </w:pPr>
            <w:r>
              <w:rPr>
                <w:b w:val="off"/>
              </w:rPr>
              <w:t>user@demo.local：自动验收脱敏证据：修订稿 v3 已将责任上限调整为合同金额。
复审：自动验收：证据与整改要求一致，复审通过。</w:t>
            </w:r>
          </w:p>
        </w:tc>
      </w:tr>
    </w:tbl>
    <w:p>
      <w:pPr>
        <w:pStyle w:val="ComplianceH1"/>
        <w:keepNext w:val="on"/>
      </w:pPr>
      <w:r>
        <w:t>6. 版本与可追溯信息</w:t>
      </w:r>
    </w:p>
    <w:p>
      <w:pPr>
        <w:pStyle w:val="ComplianceTable"/>
      </w:pPr>
      <w:r>
        <w:t>文档 SHA-256：516548bca7c08edc2197ecad5e43e09566fe864374776a2c3b127681b4f306c9</w:t>
      </w:r>
    </w:p>
    <w:p>
      <w:pPr>
        <w:pStyle w:val="ComplianceTable"/>
      </w:pPr>
      <w:r>
        <w:t>审核运行状态：待复审；创建人：user@demo.local；创建时间：2026-07-20 04:43:11</w:t>
      </w:r>
    </w:p>
    <w:p>
      <w:pPr>
        <w:pStyle w:val="ComplianceTable"/>
      </w:pPr>
      <w:r>
        <w:t>报告内容与界面使用同一审核运行快照。下载接口另返回报告文件 SHA-256，审计接口可验证同租户事件哈希链。</w:t>
      </w:r>
    </w:p>
    <w:sectPr>
      <w:headerReference w:type="default" r:id="rId3"/>
      <w:footerReference w:type="default" r:id="rId4"/>
      <w:pgSz w:w="12240" w:h="15840"/>
      <w:pgMar w:top="1080" w:right="1440" w:bottom="1080" w:left="1440" w:header="600" w:footer="600"/>
    </w:sectPr>
  </w:body>
</w:document>
</file>

<file path=word/footer1.xml><?xml version="1.0" encoding="utf-8"?>
<w:ftr xmlns:w="http://schemas.openxmlformats.org/wordprocessingml/2006/main">
  <w:p>
    <w:pPr>
      <w:pStyle w:val="ComplianceTable"/>
      <w:jc w:val="right"/>
    </w:pPr>
    <w:r>
      <w:t xml:space="preserve">供人工复核 | Page </w:t>
    </w:r>
    <w:fldSimple w:instr="PAGE"/>
  </w:p>
</w:ftr>
</file>

<file path=word/header1.xml><?xml version="1.0" encoding="utf-8"?>
<w:hdr xmlns:w="http://schemas.openxmlformats.org/wordprocessingml/2006/main">
  <w:p>
    <w:pPr>
      <w:pStyle w:val="ComplianceTable"/>
    </w:pPr>
    <w:r>
      <w:t>Compliance Doc Agent | REV-5B1F31D3A0284453 | DEMO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ComplianceBody" w:type="paragraph">
    <w:name w:val="Compliance Body"/>
    <w:pPr>
      <w:spacing w:before="0" w:after="80" w:line="252" w:lineRule="auto"/>
    </w:pPr>
    <w:rPr>
      <w:rFonts w:ascii="Calibri" w:hAnsi="Calibri" w:eastAsia="Microsoft YaHei"/>
      <w:color w:val="000000"/>
      <w:sz w:val="21"/>
      <w:szCs w:val="21"/>
    </w:rPr>
  </w:style>
  <w:style w:styleId="ComplianceTitle" w:type="paragraph">
    <w:name w:val="Compliance Title"/>
    <w:pPr>
      <w:spacing w:before="0" w:after="60" w:line="252" w:lineRule="auto"/>
    </w:pPr>
    <w:rPr>
      <w:rFonts w:ascii="Calibri" w:hAnsi="Calibri" w:eastAsia="Microsoft YaHei"/>
      <w:color w:val="000000"/>
      <w:sz w:val="44"/>
      <w:szCs w:val="44"/>
      <w:b w:val="true"/>
    </w:rPr>
  </w:style>
  <w:style w:styleId="ComplianceSubtitle" w:type="paragraph">
    <w:name w:val="Compliance Subtitle"/>
    <w:pPr>
      <w:spacing w:before="0" w:after="240" w:line="252" w:lineRule="auto"/>
    </w:pPr>
    <w:rPr>
      <w:rFonts w:ascii="Calibri" w:hAnsi="Calibri" w:eastAsia="Microsoft YaHei"/>
      <w:color w:val="555555"/>
      <w:sz w:val="23"/>
      <w:szCs w:val="23"/>
    </w:rPr>
  </w:style>
  <w:style w:styleId="ComplianceH1" w:type="paragraph">
    <w:name w:val="Compliance Heading 1"/>
    <w:pPr>
      <w:spacing w:before="240" w:after="100" w:line="252" w:lineRule="auto"/>
    </w:pPr>
    <w:rPr>
      <w:rFonts w:ascii="Calibri" w:hAnsi="Calibri" w:eastAsia="Microsoft YaHei"/>
      <w:color w:val="2E74B5"/>
      <w:sz w:val="30"/>
      <w:szCs w:val="30"/>
      <w:b w:val="true"/>
    </w:rPr>
  </w:style>
  <w:style w:styleId="ComplianceH2" w:type="paragraph">
    <w:name w:val="Compliance Heading 2"/>
    <w:pPr>
      <w:spacing w:before="180" w:after="80" w:line="252" w:lineRule="auto"/>
    </w:pPr>
    <w:rPr>
      <w:rFonts w:ascii="Calibri" w:hAnsi="Calibri" w:eastAsia="Microsoft YaHei"/>
      <w:color w:val="2E74B5"/>
      <w:sz w:val="24"/>
      <w:szCs w:val="24"/>
      <w:b w:val="true"/>
    </w:rPr>
  </w:style>
  <w:style w:styleId="ComplianceH3" w:type="paragraph">
    <w:name w:val="Compliance Heading 3"/>
    <w:pPr>
      <w:spacing w:before="120" w:after="60" w:line="252" w:lineRule="auto"/>
    </w:pPr>
    <w:rPr>
      <w:rFonts w:ascii="Calibri" w:hAnsi="Calibri" w:eastAsia="Microsoft YaHei"/>
      <w:color w:val="1F4D78"/>
      <w:sz w:val="22"/>
      <w:szCs w:val="22"/>
      <w:b w:val="true"/>
    </w:rPr>
  </w:style>
  <w:style w:styleId="ComplianceTable" w:type="paragraph">
    <w:name w:val="Compliance Table"/>
    <w:pPr>
      <w:spacing w:before="0" w:after="20" w:line="216" w:lineRule="auto"/>
    </w:pPr>
    <w:rPr>
      <w:rFonts w:ascii="Calibri" w:hAnsi="Calibri" w:eastAsia="Microsoft YaHei"/>
      <w:color w:val="000000"/>
      <w:sz w:val="18"/>
      <w:szCs w:val="18"/>
    </w:rPr>
  </w:style>
  <w:style w:styleId="ComplianceTableCompact" w:type="paragraph">
    <w:name w:val="Compliance Table Compact"/>
    <w:pPr>
      <w:spacing w:before="0" w:after="10" w:line="204" w:lineRule="auto"/>
    </w:pPr>
    <w:rPr>
      <w:rFonts w:ascii="Calibri" w:hAnsi="Calibri" w:eastAsia="Microsoft YaHei"/>
      <w:color w:val="000000"/>
      <w:sz w:val="17"/>
      <w:szCs w:val="17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2026-07-20T04:43:23Z</dcterms:created>
  <dc:creator>Apache POI</dc:creator>
</cp:coreProperties>
</file>