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6B5EE4"/>
          <w:sz w:val="48"/>
          <w:szCs w:val="48"/>
        </w:rPr>
        <w:t xml:space="preserve">SmartQuality</w:t>
      </w:r>
    </w:p>
    <w:p>
      <w:pPr>
        <w:spacing w:before="0" w:after="200"/>
        <w:jc w:val="left"/>
      </w:pPr>
      <w:r>
        <w:rPr>
          <w:rFonts w:ascii="Arial" w:cs="Arial" w:eastAsia="Arial" w:hAnsi="Arial"/>
          <w:color w:val="5c6080"/>
          <w:sz w:val="32"/>
          <w:szCs w:val="32"/>
        </w:rPr>
        <w:t xml:space="preserve">机理特征维度规范  ·  最终版 v1.0</w:t>
      </w:r>
    </w:p>
    <w:p>
      <w:pPr>
        <w:pBdr>
          <w:bottom w:val="single" w:color="6B5EE4" w:sz="6" w:space="6"/>
        </w:pBdr>
        <w:spacing w:before="0" w:after="240"/>
      </w:pPr>
    </w:p>
    <w:p>
      <w:pPr>
        <w:spacing w:before="0" w:after="80"/>
      </w:pPr>
      <w:r>
        <w:rPr>
          <w:rFonts w:ascii="Arial" w:cs="Arial" w:eastAsia="Arial" w:hAnsi="Arial"/>
          <w:color w:val="9ca3c0"/>
          <w:sz w:val="22"/>
          <w:szCs w:val="22"/>
        </w:rPr>
        <w:t xml:space="preserve">文档编号：</w:t>
      </w:r>
      <w:r>
        <w:rPr>
          <w:rFonts w:ascii="Arial" w:cs="Arial" w:eastAsia="Arial" w:hAnsi="Arial"/>
          <w:color w:val="1a1d2e"/>
          <w:sz w:val="22"/>
          <w:szCs w:val="22"/>
        </w:rPr>
        <w:t xml:space="preserve">BF-SQ-FEAT-001</w:t>
      </w:r>
    </w:p>
    <w:p>
      <w:pPr>
        <w:spacing w:before="0" w:after="80"/>
      </w:pPr>
      <w:r>
        <w:rPr>
          <w:rFonts w:ascii="Arial" w:cs="Arial" w:eastAsia="Arial" w:hAnsi="Arial"/>
          <w:color w:val="9ca3c0"/>
          <w:sz w:val="22"/>
          <w:szCs w:val="22"/>
        </w:rPr>
        <w:t xml:space="preserve">版本日期：</w:t>
      </w:r>
      <w:r>
        <w:rPr>
          <w:rFonts w:ascii="Arial" w:cs="Arial" w:eastAsia="Arial" w:hAnsi="Arial"/>
          <w:color w:val="1a1d2e"/>
          <w:sz w:val="22"/>
          <w:szCs w:val="22"/>
        </w:rPr>
        <w:t xml:space="preserve">2026-03-16</w:t>
      </w:r>
    </w:p>
    <w:p>
      <w:pPr>
        <w:spacing w:before="0" w:after="80"/>
      </w:pPr>
      <w:r>
        <w:rPr>
          <w:rFonts w:ascii="Arial" w:cs="Arial" w:eastAsia="Arial" w:hAnsi="Arial"/>
          <w:color w:val="9ca3c0"/>
          <w:sz w:val="22"/>
          <w:szCs w:val="22"/>
        </w:rPr>
        <w:t xml:space="preserve">适用产品：</w:t>
      </w:r>
      <w:r>
        <w:rPr>
          <w:rFonts w:ascii="Arial" w:cs="Arial" w:eastAsia="Arial" w:hAnsi="Arial"/>
          <w:color w:val="1a1d2e"/>
          <w:sz w:val="22"/>
          <w:szCs w:val="22"/>
        </w:rPr>
        <w:t xml:space="preserve">汽车零部件NVH声学异响检测</w:t>
      </w:r>
    </w:p>
    <w:p>
      <w:pPr>
        <w:spacing w:before="0" w:after="80"/>
      </w:pPr>
      <w:r>
        <w:rPr>
          <w:rFonts w:ascii="Arial" w:cs="Arial" w:eastAsia="Arial" w:hAnsi="Arial"/>
          <w:color w:val="9ca3c0"/>
          <w:sz w:val="22"/>
          <w:szCs w:val="22"/>
        </w:rPr>
        <w:t xml:space="preserve">零部件范围：</w:t>
      </w:r>
      <w:r>
        <w:rPr>
          <w:rFonts w:ascii="Arial" w:cs="Arial" w:eastAsia="Arial" w:hAnsi="Arial"/>
          <w:color w:val="1a1d2e"/>
          <w:sz w:val="22"/>
          <w:szCs w:val="22"/>
        </w:rPr>
        <w:t xml:space="preserve">电机类 / 传动类（齿轮、轴承）/ 泵类 / 执行器导轨风扇</w:t>
      </w:r>
    </w:p>
    <w:p>
      <w:pPr>
        <w:spacing w:before="20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a1d2e"/>
          <w:sz w:val="24"/>
          <w:szCs w:val="24"/>
        </w:rPr>
        <w:t xml:space="preserve">优先级定义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7006"/>
      </w:tblGrid>
      <w:t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P0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必须实现</w:t>
            </w:r>
          </w:p>
        </w:tc>
        <w:tc>
          <w:tcPr>
            <w:tcW w:type="dxa" w:w="70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6080"/>
                <w:sz w:val="22"/>
                <w:szCs w:val="22"/>
              </w:rPr>
              <w:t xml:space="preserve">第一阶段核心功能，直接影响客户验收和产品基础能力</w:t>
            </w:r>
          </w:p>
        </w:tc>
      </w:tr>
      <w:t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P1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第二阶段完善</w:t>
            </w:r>
          </w:p>
        </w:tc>
        <w:tc>
          <w:tcPr>
            <w:tcW w:type="dxa" w:w="70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6080"/>
                <w:sz w:val="22"/>
                <w:szCs w:val="22"/>
              </w:rPr>
              <w:t xml:space="preserve">提升系统精度和可解释性，客户有需求时优先实现</w:t>
            </w:r>
          </w:p>
        </w:tc>
      </w:tr>
      <w:tr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P2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2"/>
                <w:szCs w:val="22"/>
              </w:rPr>
              <w:t xml:space="preserve">按需实现</w:t>
            </w:r>
          </w:p>
        </w:tc>
        <w:tc>
          <w:tcPr>
            <w:tcW w:type="dxa" w:w="70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c6080"/>
                <w:sz w:val="22"/>
                <w:szCs w:val="22"/>
              </w:rPr>
              <w:t xml:space="preserve">特定零部件或高级分析场景，根据项目需求选择实现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5EE4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6B5EE4"/>
          <w:sz w:val="32"/>
          <w:szCs w:val="32"/>
        </w:rPr>
        <w:t xml:space="preserve">一、机理特征维度总览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本文档定义SmartQuality系统用于汽车零部件NVH声学检测的18个机理特征维度，分为心理声学层（7个）和物理声学层（11个）两大类。所有特征均从原始WAV音频信号提取，无需转速传感器。</w:t>
      </w:r>
    </w:p>
    <w:p>
      <w:pPr>
        <w:spacing w:before="12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600"/>
        <w:gridCol w:w="600"/>
        <w:gridCol w:w="700"/>
        <w:gridCol w:w="1600"/>
        <w:gridCol w:w="1800"/>
        <w:gridCol w:w="3106"/>
      </w:tblGrid>
      <w:tr>
        <w:trPr>
          <w:tblHeader/>
        </w:trP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特征名称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符号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单位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标准 / 方法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主要缺陷对应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适用零部件</w:t>
            </w:r>
          </w:p>
        </w:tc>
      </w:tr>
      <w:tr>
        <w:tc>
          <w:tcPr>
            <w:gridSpan w:val="8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ED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EE4"/>
                <w:sz w:val="20"/>
                <w:szCs w:val="20"/>
              </w:rPr>
              <w:t xml:space="preserve">▌ 心理声学层（7个）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A计权声压级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dB(A)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dB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IEC 61672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整体响度基准，客户规格书必备指标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响度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N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sone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ISO 532B (Zwicker)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人耳感知响度，严重度主指标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尖锐度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S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acum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DIN 45692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啸叫、金属摩擦高频刺耳感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电机类、泵类、执行器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粗糙度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R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asper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Daniel &amp; Weber 1997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摩擦、刮擦，20–300Hz调制感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电机类、传动齿轮、执行器/导轨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波动强度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F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vacil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Zwicker &amp; Fastl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不稳定运转，&lt;20Hz缓慢起伏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电机类、执行器/导轨/风扇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音调度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TI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ECMA-418-2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啸叫纯音，含人耳掩蔽效应，比TNR更接近主观感受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电机类、传动齿轮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烦恼度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ISO 1996 / Aures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顶层综合严重度输出，N/S/R加权合成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全部（顶层输出）</w:t>
            </w:r>
          </w:p>
        </w:tc>
      </w:tr>
      <w:tr>
        <w:tc>
          <w:tcPr>
            <w:gridSpan w:val="8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EE4"/>
                <w:sz w:val="20"/>
                <w:szCs w:val="20"/>
              </w:rPr>
              <w:t xml:space="preserve">▌ 物理声学层（11个）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峰值声压级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SPL_pk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dB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IEC 61672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瞬时冲击强度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低频能量比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E_low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%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IEC 61260 (1/3倍频程)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轰鸣感、低频共振（20–200Hz）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泵类、传动类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中频能量比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E_mid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%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IEC 61260 (1/3倍频程)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摩擦声、齿轮啮合主区间（200Hz–2kHz）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电机类、传动类、执行器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高频能量比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E_high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%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IEC 61260 (1/3倍频程)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啸叫、金属摩擦（2k–20kHz）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电机类、泵类、传动齿轮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音调突出比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TNR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dB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ISO 7779 / ECMA-74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纯音相对背景噪声的客观突出程度，客户规格常用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电机类、传动类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频谱不规则度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SI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Krimphoff 1994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频谱平滑程度，摩擦感频域量化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执行器/导轨、电机类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时域峭度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K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ISO 20286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时域冲击尖峰程度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谱峭度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SK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Antoni 2006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各频段冲击性分布，轴承/齿轮/气穴损伤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传动类（轴承）、泵类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调制深度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AMD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%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Zwicker &amp; Fastl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幅度调制程度，周期性摩擦、偏心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电机类、传动类、执行器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包络谱峰值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ESP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dB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Randall &amp; Antoni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包络信号FFT峰值，轴承特征频率识别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传动类（轴承）、泵类</w:t>
            </w:r>
          </w:p>
        </w:tc>
      </w:tr>
      <w:tr>
        <w:tc>
          <w:tcPr>
            <w:tcW w:type="dxa" w:w="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非平稳性指数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EE4"/>
                <w:sz w:val="18"/>
                <w:szCs w:val="18"/>
              </w:rPr>
              <w:t xml:space="preserve">NSI</w:t>
            </w:r>
          </w:p>
        </w:tc>
        <w:tc>
          <w:tcPr>
            <w:tcW w:type="dxa" w:w="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内部定义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信号时变程度，随机摩擦/刮擦</w:t>
            </w:r>
          </w:p>
        </w:tc>
        <w:tc>
          <w:tcPr>
            <w:tcW w:type="dxa" w:w="310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d2e"/>
                <w:sz w:val="18"/>
                <w:szCs w:val="18"/>
              </w:rPr>
              <w:t xml:space="preserve">执行器/导轨/风扇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注：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烦恼度（A）为顶层综合严重度输出，由N、S、R加权合成，不单独作为判定阈值维度。E组（E_low / E_mid / E_high）基于IEC 61260标准1/3倍频程分析统一计算，三个子特征共享同一次FFT运算。</w:t>
      </w:r>
    </w:p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5EE4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6B5EE4"/>
          <w:sz w:val="32"/>
          <w:szCs w:val="32"/>
        </w:rPr>
        <w:t xml:space="preserve">二、零部件适用矩阵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● 强相关：该零部件典型缺陷在此维度有显著信号，建议标定阈值并纳入判定逻辑。</w:t>
      </w:r>
    </w:p>
    <w:p>
      <w:pPr>
        <w:spacing w:before="60" w:after="8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○ 弱相关：偶有信号但不稳定，可作参考特征但不建议单独设阈值。</w:t>
      </w:r>
    </w:p>
    <w:p>
      <w:pPr>
        <w:spacing w:before="12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>
        <w:trPr>
          <w:tblHeader/>
        </w:trP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零部件 / 特征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dB(A)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SPL_pk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E组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TNR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AMD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ESP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NSI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2d356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#18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EDF9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电机类（座椅/窗/门锁/天窗）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EDF9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传动类（齿轮/变速箱）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EDF9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传动类（轴承）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EDF9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泵类（油泵/水泵/压缩机）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EDF9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18"/>
                <w:szCs w:val="18"/>
              </w:rPr>
              <w:t xml:space="preserve">执行器/导轨/风扇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C4D8"/>
                <w:sz w:val="20"/>
                <w:szCs w:val="20"/>
              </w:rPr>
              <w:t xml:space="preserve">○</w:t>
            </w:r>
          </w:p>
        </w:tc>
        <w:tc>
          <w:tcPr>
            <w:tcW w:type="dxa" w:w="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EE4"/>
                <w:sz w:val="20"/>
                <w:szCs w:val="20"/>
              </w:rPr>
              <w:t xml:space="preserve">●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5EE4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6B5EE4"/>
          <w:sz w:val="32"/>
          <w:szCs w:val="32"/>
        </w:rPr>
        <w:t xml:space="preserve">三、各维度详细说明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e"/>
          <w:sz w:val="26"/>
          <w:szCs w:val="26"/>
        </w:rPr>
        <w:t xml:space="preserve">3.1 心理声学层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3.1.1 A计权声压级（dB(A)）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1. A计权声压级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dB(A)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IEC 61672:2013 / IEC 60651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P0 · 必须实现。客户规格书中几乎100%使用dB(A)作为验收指标，是与主机厂对接的基础语言。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对声压信号施加A计权滤波后计算RMS声压级，模拟人耳对不同频率的敏感度差异。低频（&lt;1kHz）被衰减，1–4kHz被放大，与人耳最敏感区间对应。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对WAV信号施加A计权滤波器（IIR或FIR实现）
② 计算滤波后信号的RMS值
③ dB(A) = 20 × log10(P_rms / P_ref)，P_ref = 20μPa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典型主机厂验收线：异响判定阈值 55–75 dB(A)，视零部件类型和工况而定，需与客户逐一确认。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所有缺陷类型（提供能量基准）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3.1.2 响度 N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2. 响度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N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ISO 532B:1975 / ISO 532-1:2017（Zwicker方法）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P0 · 必须实现。人耳感知的声音强度，是严重度评分的核心主指标。比dB(A)更接近主观感受，尤其对复杂频谱的异响评估更准确。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以Bark临界频带为基础，考虑频谱掩蔽效应，将物理声压映射为人耳感知响度。1 sone = 1kHz纯音40dB时的响度感知。响度随声压的增加近似遵循幂函数关系。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计算1/3倍频程频谱
② 转换为临界频带（Bark尺度，24个Bark频带）
③ 施加频谱掩蔽（同时掩蔽和时间掩蔽）
④ 计算各频带比响度N'，积分得总响度N
推荐Python库：mosqito（mosqito.loudness_zwicker_stationary）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合格品响度基准由TP样本分布决定。严重度分级参考：轻微异响 &gt; 2×TP均值，严重异响 &gt; 4×TP均值（需根据实际数据标定）。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所有缺陷类型（严重度主指标）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3.1.3 尖锐度 S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3. 尖锐度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S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DIN 45692:2009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P0 · 必须实现。对啸叫和金属摩擦等高频刺耳声最敏感，是主机厂评估「刺耳感」的标准指标。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衡量声音中高频成分的比例。高频成分越多，尖锐度越高，人耳感觉越刺耳。单位acum：1 acum = 1kHz纯音60dB时的尖锐度感知。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计算响度分布N'(z)（同响度计算）
② 施加Aures尖锐度权重函数g(z)：高Bark频带权重更高
③ S = 0.11 × ∫[N'(z)×g(z)dz] / N
推荐Python库：mosqito（mosqito.sharpness_din_from_loudness）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正常零部件 S &lt; 1.5 acum，&gt; 2.5 acum通常被认为刺耳，具体阈值需对照客户jury测试结果标定。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啸叫、金属摩擦、高频纯音异响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3.1.4 粗糙度 R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4. 粗糙度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R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Daniel &amp; Weber 1997 / Aures 1985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P0 · 必须实现。对摩擦声和刮擦声最敏感，是传动类和电机类零部件最常见缺陷的核心评价指标。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衡量声音20–300Hz调制产生的粗糙质感。调制频率在70Hz附近时粗糙感最强。单位asper：1 asper = 1kHz纯音60dB以70Hz调制时的粗糙感。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对响度信号N'(t)提取包络
② 对包络做Bark频带分析，计算各频带调制深度m_i
③ R = 0.3 × ∫[f_mod(z) × m_i(z)² × N'(z) dz]
推荐Python库：mosqito（mosqito.roughness_dw）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正常零部件 R &lt; 0.5 asper，有摩擦缺陷时通常 &gt; 1.5 asper。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摩擦声、刮擦声、齿轮啮合异响、周期性摩擦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3.1.5 波动强度 F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5. 波动强度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F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Zwicker &amp; Fastl《Psychoacoustics》2007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 · 第二阶段实现。对频率低于20Hz的缓慢幅度变化敏感，用于检测运转不稳定、周期性卡顿等现象。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衡量声音低于20Hz的缓慢起伏感，与粗糙度互补（粗糙度覆盖20–300Hz）。调制频率约4Hz时波动感最强。单位vacil：1 vacil = 1kHz纯音60dB以4Hz完全调制时的波动感。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计算响度时变曲线N'(t)
② 对N'(t)做低通滤波，提取&lt;20Hz的缓慢波动成分
③ F = 0.008 × ∫[m_low(z)×N'(z)dz] / (f_mod/4 + 4/f_mod)
推荐Python库：mosqito（mosqito.fluctuation_strength）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正常匀速运转零部件 F 较低，有周期性卡顿或不稳定运转时显著升高。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电机不稳定运转、执行器周期性卡顿、风扇转速波动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3.1.6 音调度 TI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6. 音调度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TI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ECMA-418-2:2022（Hearing Model方法）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 · 第二阶段实现。比TNR更接近人耳主观感受，含掩蔽效应，是啸叫严重度评分的精确指标。与TNR的分工：TI用于严重度量化，TNR用于客户规格对标。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在人耳听觉模型基础上量化纯音的突出程度，考虑背景噪声的掩蔽效应。同样突出程度的纯音，在嘈杂背景下感知比在安静背景下弱，TI能正确反映这一差异，而TNR不能。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使用ECMA-418-2定义的听觉滤波器组处理信号
② 在每个时频格点计算纯音相对于掩蔽阈值的突出量
③ 聚合得到整体音调度TI
推荐实现：参照ECMA-418-2附录或mosqito（开发中）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TI &gt; 1.0 认为有明显纯音感知，具体阈值需通过jury测试标定。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啸叫、电机高频纯音、齿轮啮合高次谐波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3.1.7 烦恼度 A（顶层综合输出）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7. 烦恼度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A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ISO 1996-1:2016 / Aures 1985综合模型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 · 顶层输出指标，建议与P0指标同步实现。将底层维度汇聚为一个可直接向客户展示的严重度分，避免客户解读多维度数据。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综合响度N、尖锐度S、粗糙度R、波动强度F，映射为整体主观不适感。是最接近人耳「这个声音有多烦人」的单一量化指标。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Aures综合模型（推荐）：
A = N × (1 + √(w_S×S² + w_R×R² + w_F×F²))
其中 w_S=0.25, w_R=0.50, w_F=0.15（权重可根据零部件类型调整）
也可使用简化ISO版本：A = N_5 × (1 + 0.25 × S)
N_5为超过5%时间的响度值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用百分位排名表达严重度：「该样本烦恼度在所有异响样本中排前X%」比绝对数值更易沟通。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所有缺陷类型（综合严重度单一输出）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e"/>
          <w:sz w:val="26"/>
          <w:szCs w:val="26"/>
        </w:rPr>
        <w:t xml:space="preserve">3.2 物理声学层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3.2.1 峰值声压级 SPL_peak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8. 峰值声压级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SPL_peak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IEC 61672:2013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P0 · 必须实现。瞬时冲击强度的直接量化，是冲击/敲击类缺陷的首要判定依据。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信号在整个采集窗口内的最大瞬时声压值，以dB表示。与RMS声压级的差值（峰均比Crest Factor）也是冲击性的重要指标。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SPL_peak = 20 × log10(max|p(t)| / P_ref)
峰均比 CF = SPL_peak - dB(A)（&gt;15dB通常有明显冲击成分）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视零部件和工况而定，通常比平均SPL高10–20dB为正常，超过25dB需关注。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冲击、敲击、异常碰撞声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3.2.2–3.2.4 频段能量比（1/3倍频程）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9–11. 低/中/高频能量比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E_low / E_mid / E_high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IEC 61260-1:2014（1/3倍频程滤波器组）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P0 · 必须实现，三个子特征共享同一次1/3倍频程计算。替代简单的分频段SPL，提供标准化的频率分布描述，客户和主机厂工程师均熟悉此格式。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对信号施加符合IEC 61260的1/3倍频程滤波器组（共约30个频段），分别对低频（20–200Hz）、中频（200Hz–2kHz）、高频（2k–20kHz）频段的能量求和，计算各频段占总能量的比例。
低频能量比高：轰鸣感、低频共振（泵类/传动类常见）
中频能量比高：摩擦声、齿轮啮合（最常见异响频段）
高频能量比高：啸叫、金属摩擦（电机类/泵类）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FFT计算全频谱功率
② 按IEC 61260中心频率分组求和
③ E_low = ΣP(20–200Hz) / ΣP(20–20kHz) × 100%
④ E_mid、E_high同理
推荐：scipy.signal中的butter滤波器组，或直接FFT功率积分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正常零部件各频段比例相对稳定。异响出现时某频段能量比会显著升高，具体阈值需用TP样本基准标定。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全部缺陷（频段定位）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3.2.5 音调突出比 TNR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12. 音调突出比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TNR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ISO 7779:2010 / ECMA-74:2019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 · 第二阶段实现。客户规格书中常出现「TNR &gt; N dB判为纯音异响」的要求，是与客户规格对标的关键物理指标。与TI的分工：TNR用于客观规格判定，TI用于主观严重度评分。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衡量频谱中某个纯音峰值相对于其周围背景噪声的突出程度（单位dB）。TNR越高，说明该纯音成分越显著，越可能被人耳感知为啸叫。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对信号做高分辨率FFT（推荐频率分辨率 ≤ 5Hz）
② 识别频谱峰值（局部最大值）
③ 在峰值附近取1/3倍频程带宽内的背景噪声均值
④ TNR = L_peak - L_background（dB）
⑤ 取所有峰值中最大的TNR作为整体指标
参考：ECMA-74附录C的具体算法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典型规格：TNR &gt; 8 dB判为有纯音成分，TNR &gt; 15 dB为明显啸叫。具体阈值以客户规格书为准。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啸叫、电机高频纯音、齿轮啮合谐波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3.2.6 频谱不规则度 SI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13. 频谱不规则度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SI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Krimphoff et al. 1994 / 无统一国际标准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 · 第二阶段实现。客户工程师使用该指标评估摩擦感的频域特征，是粗糙度R的频域补充（R关注时域调制，SI关注频谱平滑度）。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衡量频谱幅值在相邻频率间的起伏程度。光滑的频谱（SI低）通常来自宽带噪声或稳定运转；凹凸不平的频谱（SI高）常见于摩擦声、刮擦声和不规则振动。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计算FFT幅度谱或1/3倍频程幅度谱 A(k)
② SI = Σ|log(A(k)) - log(A(k-1))| / N
其中N为频率点数
③ 也可用归一化版本：SI = Σ(A(k)-A(k-1))² / ΣA(k)²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正常零部件频谱相对平滑，SI较低。有摩擦缺陷时频谱出现毛刺，SI显著升高。具体阈值需用TP样本分布标定。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摩擦声、刮擦声、不规则噪声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3.2.7 时域峭度 K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14. 时域峭度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K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ISO 20286:2015（振动峭度参考，声学同理）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P0 · 必须实现。对冲击、敲击类缺陷极度敏感，计算简单且效果显著，是最早期可用的机理指标之一。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信号概率分布的四阶矩与方差平方的比值。正态分布的峭度为3（也有定义为0，即超额峭度）。冲击信号包含大量偶发尖峰，峭度远高于正态分布。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K = E[x⁴] / (E[x²])²
（超额峭度 = K - 3，正态分布下为0）
对整段信号计算，或分帧后取最大值以捕捉瞬态冲击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无冲击信号 K ≈ 3（正态）；有轻微缺陷 K = 5–10；有明显冲击缺陷 K &gt; 10。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冲击声、敲击声、零件碰撞、轴承点蚀早期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3.2.8 谱峭度 SK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15. 谱峭度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SK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Antoni &amp; Randall 2006，Journal of Sound and Vibration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 · 第二阶段实现。比时域峭度更精确地定位冲击性缺陷的频率区间，是轴承故障和气穴噪声诊断的经典工具。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在各频率频带内分别计算峭度，生成「峭度–频率」分布图。冲击性缺陷只影响特定频带，谱峭度能精确定位异常频带，而时域峭度只给出整体指标。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使用短时傅里叶变换（STFT）得到时频矩阵X(f,t)
② 对每个频率f，计算时间轴上的峭度：SK(f) = E[|X(f,t)|⁴] / E[|X(f,t)|²]² - 2
③ 取SK最大值对应频率作为主要诊断频段
推荐库：Python kurtogram实现（MHKit、scikit-signal）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正常信号 SK ≈ 0；有局部冲击性缺陷时，特定频段 SK &gt; 2–3 需关注。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轴承滚动体损伤、齿轮局部缺陷、泵气穴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3.2.9 调制深度 AMD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16. 调制深度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AMD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Zwicker &amp; Fastl《Psychoacoustics》2007 / AM解调理论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P1 · 第二阶段实现。直接量化周期性摩擦和偏心等运动类缺陷的调制程度，对电机类和执行器尤其有效。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信号包络的周期性起伏程度。偏心、不均匀摩擦等缺陷会使声音产生周期性的幅度变化，AMD正是量化这种变化的深度。AMD = (A_max - A_min) / (A_max + A_min)，范围0–1。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Hilbert变换提取信号包络 e(t)
② 对包络做FFT，识别主调制频率 f_mod
③ AMD = (e_max - e_min) / (e_max + e_min)
④ 同时输出调制频率 f_mod 作为辅助诊断信息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正常信号 AMD &lt; 0.1；有周期性摩擦 AMD = 0.2–0.5；明显偏心缺陷 AMD &gt; 0.5。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周期性摩擦、偏心、电机电磁干扰调制、执行器卡顿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3.2.10 包络谱峰值 ESP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17. 包络谱峰值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ESP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Randall &amp; Antoni 2011，Mechanical Systems and Signal Processing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P2 · 按需实现，主要用于轴承故障精确诊断。适合传动类（轴承）和泵类的高级分析场景。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对信号包络做FFT，分析包络谱中的峰值频率和幅度。轴承故障产生特征频率（BPFI/BPFO/BSF/FTF），这些特征频率在包络谱中以峰值形式出现。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带通滤波至高峭度频段（从SK结果确定）
② Hilbert变换提取包络
③ 对包络做FFT
④ 在轴承特征频率附近寻找峰值并计算ESP（峰值dB值）
注：无转速时可扫描常见故障频率范围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有轴承特征频率对应的谱峰 ESP &gt; 背景 + 10dB，结合峭度综合判断。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轴承滚动体/内外圈损伤、泵叶片通过频率异常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3561"/>
          <w:sz w:val="24"/>
          <w:szCs w:val="24"/>
        </w:rPr>
        <w:t xml:space="preserve">3.2.11 非平稳性指数 NSI</w:t>
      </w:r>
    </w:p>
    <w:p>
      <w:pPr>
        <w:spacing w:before="60" w:after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  <w:gridCol w:w="2000"/>
        <w:gridCol w:w="1300"/>
        <w:gridCol w:w="2206"/>
      </w:tblGrid>
      <w:tr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4F5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e"/>
                <w:sz w:val="24"/>
                <w:szCs w:val="24"/>
              </w:rPr>
              <w:t xml:space="preserve">18. 非平稳性指数</w:t>
            </w:r>
            <w:r>
              <w:rPr>
                <w:rFonts w:ascii="Arial" w:cs="Arial" w:eastAsia="Arial" w:hAnsi="Arial"/>
                <w:b/>
                <w:bCs/>
                <w:color w:val="6B5EE4"/>
                <w:sz w:val="24"/>
                <w:szCs w:val="24"/>
              </w:rPr>
              <w:t xml:space="preserve">    NSI</w:t>
            </w:r>
          </w:p>
        </w:tc>
        <w:tc>
          <w:tcPr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参考标准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内部定义（参考Ravindra &amp; Halim 2008）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优先级说明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P2 · 按需实现。主要针对随机性、间歇性摩擦缺陷，这类缺陷在频谱上特征不明显但信号统计特性变化明显。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物理含义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衡量信号统计特性随时间的变化程度。稳定运转的合格品信号统计特性稳定（NSI低）；间歇性摩擦或随机振动缺陷使信号非平稳性升高。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计算方法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① 将信号分为N帧（推荐帧长50–100ms）
② 计算每帧的RMS或方差 σ_i
③ NSI = std(σ_i) / mean(σ_i)（变异系数）
④ 也可用相邻帧RMS差的均值：NSI = mean(|σ_i - σ_{i-1}|) / mean(σ_i)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阈值参考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稳定信号 NSI &lt; 0.1；有间歇性摩擦 NSI = 0.2–0.5；随机振动明显 NSI &gt; 0.5。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6080"/>
                <w:sz w:val="20"/>
                <w:szCs w:val="20"/>
              </w:rPr>
              <w:t xml:space="preserve">对应缺陷</w:t>
            </w:r>
          </w:p>
        </w:tc>
        <w:tc>
          <w:tcPr>
            <w:gridSpan w:val="4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2e"/>
                <w:sz w:val="20"/>
                <w:szCs w:val="20"/>
              </w:rPr>
              <w:t xml:space="preserve">间歇性摩擦、执行器随机卡顿、导轨粗糙度不均匀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B5EE4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6B5EE4"/>
          <w:sz w:val="32"/>
          <w:szCs w:val="32"/>
        </w:rPr>
        <w:t xml:space="preserve">四、实施路径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e"/>
          <w:sz w:val="26"/>
          <w:szCs w:val="26"/>
        </w:rPr>
        <w:t xml:space="preserve">4.1 第一阶段（P0，立即实施）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c4060"/>
          <w:sz w:val="22"/>
          <w:szCs w:val="22"/>
        </w:rPr>
        <w:t xml:space="preserve">目标：覆盖所有零部件的基础机理评分能力，支持客户验收对标。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dB(A)、SPL_peak、E_low/E_mid/E_high：基于scipy信号处理，实现1/3倍频程计算管道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N（响度）、S（尖锐度）、R（粗糙度）：使用mosqito库，pip install mosqito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K（时域峭度）：numpy单行实现，scipy.stats.kurtosis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完成后立即运行复盘手册Step 2b.1（Cohen's d验证），确认各维度对NG的实际区分度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e"/>
          <w:sz w:val="26"/>
          <w:szCs w:val="26"/>
        </w:rPr>
        <w:t xml:space="preserve">4.2 第二阶段（P1，按需补充）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3c4060"/>
          <w:sz w:val="22"/>
          <w:szCs w:val="22"/>
        </w:rPr>
        <w:t xml:space="preserve">目标：提升系统精度、可解释性，满足特定客户的规格要求。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F（波动强度）、TI（音调度）：mosqito库，复杂度较高，需要验证计算性能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A（烦恼度）：基于N/S/R加权合成，Aures公式直接计算，无需额外库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TNR：自行实现ECMA-74算法，或参考ISO 7779附录，约200行Python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SI（频谱不规则度）：基于FFT幅度谱的简单数学运算，约20行代码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SK（谱峭度）、AMD（调制深度）：scipy实现，参考MHKit开源库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d2e"/>
          <w:sz w:val="26"/>
          <w:szCs w:val="26"/>
        </w:rPr>
        <w:t xml:space="preserve">4.3 第三阶段（P2，特定场景）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ESP（包络谱峰值）：依赖SK结果确定分析频段，优先在轴承客户项目中实现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c4060"/>
          <w:sz w:val="22"/>
          <w:szCs w:val="22"/>
        </w:rPr>
        <w:t xml:space="preserve">NSI（非平稳性指数）：实现简单，约30行代码，按项目需求启用</w:t>
      </w:r>
    </w:p>
    <w:p>
      <w:pPr>
        <w:spacing w:before="200" w:after="0"/>
      </w:pPr>
      <w:r>
        <w:t xml:space="preserve"/>
      </w:r>
    </w:p>
    <w:p>
      <w:pPr>
        <w:pBdr>
          <w:top w:val="single" w:color="D0D4E8" w:sz="4" w:space="6"/>
        </w:pBdr>
        <w:spacing w:before="200" w:after="80"/>
      </w:pPr>
      <w:r>
        <w:rPr>
          <w:rFonts w:ascii="Arial" w:cs="Arial" w:eastAsia="Arial" w:hAnsi="Arial"/>
          <w:color w:val="9ca3c0"/>
          <w:sz w:val="18"/>
          <w:szCs w:val="18"/>
        </w:rPr>
        <w:t xml:space="preserve">巅峰表现（上海）科技有限公司  ·  SmartQuality  ·  BF-SQ-FEAT-001  ·  v1.0  ·  2026-03-16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5c608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6B5EE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d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d35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2026-03-17T03:00:48.515Z</dcterms:created>
  <dcterms:modified xsi:type="dcterms:W3CDTF">2026-03-17T03:00:48.517Z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