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Lindsay Corporation (LNN) — New Company Investment Analysis</w:t>
      </w:r>
    </w:p>
    <w:p>
      <w:r>
        <w:t>Fiscal window through FY2025. Industrial Template initiation.</w:t>
      </w:r>
    </w:p>
    <w:p>
      <w:pPr>
        <w:pStyle w:val="Heading1"/>
      </w:pPr>
      <w:r>
        <w:t>1. Executive investment conclusion</w:t>
      </w:r>
    </w:p>
    <w:p>
      <w:r>
        <w:t>Operating quality: weak. Economic value creation: does not cover WACC. Capital allocation: repurchases largely offset by stock-based compensation. Valuation attractiveness: unattractive. Projection uncertainty: high.</w:t>
      </w:r>
    </w:p>
    <w:p>
      <w:r>
        <w:t>Current price 115.36, PE10 23.69x, expected annual return 4.35%, ROIC–WACC 1.21%, ROCE 15.81%.</w:t>
      </w:r>
    </w:p>
    <w:p>
      <w:pPr>
        <w:pStyle w:val="Heading1"/>
      </w:pPr>
      <w:r>
        <w:t>2. Company overview and business model</w:t>
      </w:r>
    </w:p>
    <w:p>
      <w:r>
        <w:t>Lindsay Corporation is analyzed on the Industrial Template using Bloomberg-prefilled statements, SEC filings, and CRF proprietary fields. HAP does not invent a business description beyond filing evidence.</w:t>
      </w:r>
    </w:p>
    <w:p>
      <w:pPr>
        <w:pStyle w:val="Heading1"/>
      </w:pPr>
      <w:r>
        <w:t>3. Ten-year operating history</w:t>
      </w:r>
    </w:p>
    <w:p>
      <w:r>
        <w:t>Annual columns FY2016–FY2025; latest quarter Q3.</w:t>
      </w:r>
    </w:p>
    <w:p>
      <w:r>
        <w:t>Statements: 180 checks; filled=40; corrections=10; discrepancies=10; unresolved=0.</w:t>
      </w:r>
    </w:p>
    <w:p>
      <w:pPr>
        <w:pStyle w:val="Heading1"/>
      </w:pPr>
      <w:r>
        <w:t>4. Profitability and margin trends</w:t>
      </w:r>
    </w:p>
    <w:p>
      <w:r>
        <w:t>Latest NOPAT 70.42; invested capital 758.52; ROIC 9.28%.</w:t>
      </w:r>
    </w:p>
    <w:p>
      <w:pPr>
        <w:pStyle w:val="Heading1"/>
      </w:pPr>
      <w:r>
        <w:t>5. Cash generation and conversion</w:t>
      </w:r>
    </w:p>
    <w:p>
      <w:r>
        <w:t>Cash conversion is evaluated from the prefilled cash-flow statements and owner-earnings outputs after Excel recalculation. See the completed workbook.</w:t>
      </w:r>
    </w:p>
    <w:p>
      <w:pPr>
        <w:pStyle w:val="Heading1"/>
      </w:pPr>
      <w:r>
        <w:t>6. Balance-sheet strength</w:t>
      </w:r>
    </w:p>
    <w:p>
      <w:r>
        <w:t>Balance-sheet items were validated against SEC 10-K facts for all ten years; material differences were corrected only with filing evidence.</w:t>
      </w:r>
    </w:p>
    <w:p>
      <w:pPr>
        <w:pStyle w:val="Heading1"/>
      </w:pPr>
      <w:r>
        <w:t>7. Tax-rate history and material drivers</w:t>
      </w:r>
    </w:p>
    <w:p>
      <w:r>
        <w:t>FY2016: ETR 30.80%; federal 35.00%; state 1.20%; foreign -1.30%; R&amp;D credit unavailable; other -4.10%.</w:t>
      </w:r>
    </w:p>
    <w:p>
      <w:r>
        <w:t>FY2017: ETR 35.10%; federal 35.00%; state 1.30%; foreign -1.40%; R&amp;D credit unavailable; other 0.20%.</w:t>
      </w:r>
    </w:p>
    <w:p>
      <w:r>
        <w:t>FY2018: ETR 40.10%; federal 25.70%; state 2.20%; foreign 2.40%; R&amp;D credit unavailable; other 9.80%.</w:t>
      </w:r>
    </w:p>
    <w:p>
      <w:r>
        <w:t>FY2019: ETR -3.10%; federal 21.00%; state -18.00%; foreign 7.80%; R&amp;D credit unavailable; other -13.90%.</w:t>
      </w:r>
    </w:p>
    <w:p>
      <w:r>
        <w:t>FY2020: ETR 20.90%; federal 21.00%; state 2.20%; foreign -0.60%; R&amp;D credit unavailable; other -1.70%.</w:t>
      </w:r>
    </w:p>
    <w:p>
      <w:r>
        <w:t>FY2021: ETR 15.50%; federal 21.00%; state 1.70%; foreign -0.80%; R&amp;D credit unavailable; other -6.40%.</w:t>
      </w:r>
    </w:p>
    <w:p>
      <w:r>
        <w:t>FY2022: ETR 25.50%; federal 21.00%; state 1.20%; foreign 3.80%; R&amp;D credit unavailable; other -0.50%.</w:t>
      </w:r>
    </w:p>
    <w:p>
      <w:r>
        <w:t>FY2023: ETR 27.90%; federal 21.00%; state 1.30%; foreign 6.00%; R&amp;D credit unavailable; other -0.40%.</w:t>
      </w:r>
    </w:p>
    <w:p>
      <w:r>
        <w:t>FY2024: ETR 16.20%; federal 21.00%; state 1.70%; foreign -0.40%; R&amp;D credit unavailable; other -6.10%.</w:t>
      </w:r>
    </w:p>
    <w:p>
      <w:r>
        <w:t>FY2025: ETR 21.70%; federal 21.00%; state 1.70%; foreign -0.40%; R&amp;D credit unavailable; other -0.60%.</w:t>
      </w:r>
    </w:p>
    <w:p>
      <w:pPr>
        <w:pStyle w:val="Heading1"/>
      </w:pPr>
      <w:r>
        <w:t>8. R&amp;D capitalization</w:t>
      </w:r>
    </w:p>
    <w:p>
      <w:r>
        <w:rPr>
          <w:b/>
          <w:color w:val="C0392B"/>
        </w:rPr>
        <w:t xml:space="preserve">ANALYST WARNING: </w:t>
      </w:r>
      <w:r>
        <w:t>R&amp;D useful life is an autonomous agent decision. Override it if the economic life of the company's R&amp;D differs from this selection.</w:t>
      </w:r>
    </w:p>
    <w:p>
      <w:r>
        <w:t>Selected useful life: 5 years (provenance: agent_selected_analyst_assumption). Original agent selection: 5. Analyst override: none.</w:t>
      </w:r>
    </w:p>
    <w:p>
      <w:r>
        <w:t>Selected 5-year straight-line R&amp;D capitalization life. industrial product development cycle This is an AUTONOMOUS_AGENT_DECISION, not a measured accounting fact. An analyst may override it with a documented reason.</w:t>
      </w:r>
    </w:p>
    <w:p>
      <w:pPr>
        <w:pStyle w:val="ListBullet"/>
      </w:pPr>
      <w:r>
        <w:t>R&amp;D expense is separately disclosed in 10 displayed years. Useful life is based on the economic duration of R&amp;D benefits, not on the dollar amount spent.</w:t>
      </w:r>
    </w:p>
    <w:p>
      <w:pPr>
        <w:pStyle w:val="ListBullet"/>
      </w:pPr>
      <w:r>
        <w:t>Industry/activity evidence (LINDSAY CORP 3523 Farm Machinery &amp; Equipment Farm Machinery &amp; Equipment): industrial product development cycle.</w:t>
      </w:r>
    </w:p>
    <w:p>
      <w:r>
        <w:t>Sensitivity of latest-year capitalized R&amp;D asset to life ±1 year:</w:t>
      </w:r>
    </w:p>
    <w:p>
      <w:pPr>
        <w:pStyle w:val="ListBullet"/>
      </w:pPr>
      <w:r>
        <w:t>Life 4: asset 43.67 (minus_one).</w:t>
      </w:r>
    </w:p>
    <w:p>
      <w:pPr>
        <w:pStyle w:val="ListBullet"/>
      </w:pPr>
      <w:r>
        <w:t>Life 5: asset 51.29 (selected).</w:t>
      </w:r>
    </w:p>
    <w:p>
      <w:pPr>
        <w:pStyle w:val="ListBullet"/>
      </w:pPr>
      <w:r>
        <w:t>Life 6: asset 58.70 (plus_one).</w:t>
      </w:r>
    </w:p>
    <w:p>
      <w:r>
        <w:t>Required R&amp;D lookback: FY2012–FY2025; coverage complete=True.</w:t>
      </w:r>
    </w:p>
    <w:p>
      <w:pPr>
        <w:pStyle w:val="Heading1"/>
      </w:pPr>
      <w:r>
        <w:t>9. Lease capitalization</w:t>
      </w:r>
    </w:p>
    <w:p>
      <w:r>
        <w:t>Selected long-term lease discount rate 4.00% (disclosed) via reported_weighted_average_discount_rate. Decision class: AUTONOMOUS_AGENT_DECISION. This is not a fabricated human approval.</w:t>
      </w:r>
    </w:p>
    <w:p>
      <w:r>
        <w:t>Source period FY2025; form 10-K; accession 0001193125-25-248751.</w:t>
      </w:r>
    </w:p>
    <w:p>
      <w:pPr>
        <w:pStyle w:val="ListBullet"/>
      </w:pPr>
      <w:r>
        <w:t>FY2025 reported operating-lease WtdAvg discount rate 0.0400.</w:t>
      </w:r>
    </w:p>
    <w:p>
      <w:r>
        <w:t>Limitations: Company-disclosed ASC 842 weighted-average discount rate for the latest fiscal year.</w:t>
      </w:r>
    </w:p>
    <w:p>
      <w:r>
        <w:t>Effect on invested capital uses the selected rate. Calculated ROU asset 18.10; liability 21.47.</w:t>
      </w:r>
    </w:p>
    <w:p>
      <w:r>
        <w:t>History spans pre-ASC 842 undiscounted commitments and post-ASC 842 discounted liabilities; these are not mixed.</w:t>
      </w:r>
    </w:p>
    <w:p>
      <w:pPr>
        <w:pStyle w:val="Heading1"/>
      </w:pPr>
      <w:r>
        <w:t>10. Capital allocation</w:t>
      </w:r>
    </w:p>
    <w:p>
      <w:r>
        <w:t>Ten-year cumulative repurchase dollars 82.32; cumulative shares 0.97; diluted share-count change -0.01; buybacks as % of FCF 23.98%. Funding: free_cash_flow. SBC offset material: True. Per-share value: inconclusive.</w:t>
      </w:r>
    </w:p>
    <w:p>
      <w:pPr>
        <w:pStyle w:val="ListBullet"/>
      </w:pPr>
      <w:r>
        <w:t>Large repurchase dollars are not by themselves shareholder-friendly.</w:t>
      </w:r>
    </w:p>
    <w:p>
      <w:pPr>
        <w:pStyle w:val="ListBullet"/>
      </w:pPr>
      <w:r>
        <w:t>Change in shares outstanding is not used as the buyback measure.</w:t>
      </w:r>
    </w:p>
    <w:p>
      <w:pPr>
        <w:pStyle w:val="ListBullet"/>
      </w:pPr>
      <w:r>
        <w:t>Treasury-share balance changes are not used as the buyback measure.</w:t>
      </w:r>
    </w:p>
    <w:p>
      <w:pPr>
        <w:pStyle w:val="ListBullet"/>
      </w:pPr>
      <w:r>
        <w:t>Stock-based compensation materially offset share reduction.</w:t>
      </w:r>
    </w:p>
    <w:p>
      <w:pPr>
        <w:pStyle w:val="Heading1"/>
      </w:pPr>
      <w:r>
        <w:t>11. ROIC–WACC</w:t>
      </w:r>
    </w:p>
    <w:p>
      <w:r>
        <w:t>Latest annual ROIC 1.21%; ten-year average -0.54%; YTD unadjusted annualized 7.10%; seasonality-adjusted projected 6.07%; WACC 11.05%; projected ROIC–WACC -4.98%; projected NOPAT 46.04; projected invested capital 758.52; confidence high.</w:t>
      </w:r>
    </w:p>
    <w:p>
      <w:pPr>
        <w:pStyle w:val="Heading1"/>
      </w:pPr>
      <w:r>
        <w:t>11b. Q2/Q3 seasonality projections</w:t>
      </w:r>
    </w:p>
    <w:p>
      <w:r>
        <w:t>Latest quarter Q3 (9M_YTD). Seasonality-adjusted is primary; raw annualized YTD remains visible.</w:t>
      </w:r>
    </w:p>
    <w:p>
      <w:pPr>
        <w:pStyle w:val="ListBullet"/>
      </w:pPr>
      <w:r>
        <w:t>revenue: YTD 474.30; raw annualized 632.40; seasonality-adjusted 627.63; factor 0.76.</w:t>
      </w:r>
    </w:p>
    <w:p>
      <w:pPr>
        <w:pStyle w:val="ListBullet"/>
      </w:pPr>
      <w:r>
        <w:t>operating_income: YTD 51.13; raw annualized 68.18; seasonality-adjusted 62.84; factor 0.81.</w:t>
      </w:r>
    </w:p>
    <w:p>
      <w:pPr>
        <w:pStyle w:val="ListBullet"/>
      </w:pPr>
      <w:r>
        <w:t>ebit: YTD 51.13; raw annualized 68.18; seasonality-adjusted 62.84; factor 0.81.</w:t>
      </w:r>
    </w:p>
    <w:p>
      <w:pPr>
        <w:pStyle w:val="ListBullet"/>
      </w:pPr>
      <w:r>
        <w:t>tax_expense: YTD 13.64; raw annualized 18.19; seasonality-adjusted 16.80; factor 0.81.</w:t>
      </w:r>
    </w:p>
    <w:p>
      <w:pPr>
        <w:pStyle w:val="ListBullet"/>
      </w:pPr>
      <w:r>
        <w:t>rd_expense: YTD 13.37; raw annualized 17.82; seasonality-adjusted 18.59; factor 0.72.</w:t>
      </w:r>
    </w:p>
    <w:p>
      <w:pPr>
        <w:pStyle w:val="ListBullet"/>
      </w:pPr>
      <w:r>
        <w:t>capex: YTD 35.51; raw annualized 47.35; seasonality-adjusted unavailable; factor unavailable.</w:t>
      </w:r>
    </w:p>
    <w:p>
      <w:pPr>
        <w:pStyle w:val="ListBullet"/>
      </w:pPr>
      <w:r>
        <w:t>cfo: YTD 30.63; raw annualized 40.83; seasonality-adjusted 60.76; factor 0.50.</w:t>
      </w:r>
    </w:p>
    <w:p>
      <w:pPr>
        <w:pStyle w:val="ListBullet"/>
      </w:pPr>
      <w:r>
        <w:t>working_capital: YTD unavailable; raw annualized unavailable; seasonality-adjusted unavailable; factor unavailable.</w:t>
      </w:r>
    </w:p>
    <w:p>
      <w:pPr>
        <w:pStyle w:val="ListBullet"/>
      </w:pPr>
      <w:r>
        <w:t>lease_expense: YTD unavailable; raw annualized unavailable; seasonality-adjusted unavailable; factor unavailable.</w:t>
      </w:r>
    </w:p>
    <w:p>
      <w:pPr>
        <w:pStyle w:val="Heading1"/>
      </w:pPr>
      <w:r>
        <w:t>12. ROCE</w:t>
      </w:r>
    </w:p>
    <w:p>
      <w:r>
        <w:t>Latest annual ROCE 15.81%; ten-year average 8.20%; YTD unadjusted annualized 8.10%; seasonality-adjusted projected 6.92%; confidence high.</w:t>
      </w:r>
    </w:p>
    <w:p>
      <w:pPr>
        <w:pStyle w:val="Heading1"/>
      </w:pPr>
      <w:r>
        <w:t>13. Current price and PE10</w:t>
      </w:r>
    </w:p>
    <w:p>
      <w:r>
        <w:t>Current price 115.36; current PE10 23.69x (as of 2026-05-31T00:00:00).</w:t>
      </w:r>
    </w:p>
    <w:p>
      <w:r>
        <w:t>Ten-year fiscal PE10: FY2016=27.88, FY2017=30.14, FY2018=33.23, FY2019=32.49, FY2020=39.28, FY2021=46.99, FY2022=45.85, FY2023=33.54, FY2024=32.13, FY2025=26.41.</w:t>
      </w:r>
    </w:p>
    <w:p>
      <w:pPr>
        <w:pStyle w:val="Heading1"/>
      </w:pPr>
      <w:r>
        <w:t>13b. Expected Returns</w:t>
      </w:r>
    </w:p>
    <w:p>
      <w:r>
        <w:t>Expected annual return 4.35%; with dividends 5.05%. These are not substitutes for Enterprise Value or Graham results.</w:t>
      </w:r>
    </w:p>
    <w:p>
      <w:pPr>
        <w:pStyle w:val="Heading1"/>
      </w:pPr>
      <w:r>
        <w:t>13c. Enterprise Value</w:t>
      </w:r>
    </w:p>
    <w:p>
      <w:r>
        <w:t>Enterprise MOS -9.00%; max buy 142.12.</w:t>
      </w:r>
    </w:p>
    <w:p>
      <w:pPr>
        <w:pStyle w:val="Heading1"/>
      </w:pPr>
      <w:r>
        <w:t>13d. Graham intrinsic value and entry prices</w:t>
      </w:r>
    </w:p>
    <w:p>
      <w:r>
        <w:t>Graham IV 268.14; margin-of-safety entry 201.10; target-return entry 148.22.</w:t>
      </w:r>
    </w:p>
    <w:p>
      <w:pPr>
        <w:pStyle w:val="Heading1"/>
      </w:pPr>
      <w:r>
        <w:t>14. Comparison of valuation methods</w:t>
      </w:r>
    </w:p>
    <w:p>
      <w:r>
        <w:t>Expected Returns, Enterprise Value, and Graham are distinct workbook methodologies. HAP does not collapse them into a single synthetic target.</w:t>
      </w:r>
    </w:p>
    <w:p>
      <w:pPr>
        <w:pStyle w:val="Heading1"/>
      </w:pPr>
      <w:r>
        <w:t>15. Principal risks</w:t>
      </w:r>
    </w:p>
    <w:p>
      <w:r>
        <w:t>See the latest 10-K risk factors. HAP does not fabricate unidentified risks. Model-specific risks include R&amp;D-life judgment, lease-rate estimation, and seasonality projection error.</w:t>
      </w:r>
    </w:p>
    <w:p>
      <w:pPr>
        <w:pStyle w:val="Heading1"/>
      </w:pPr>
      <w:r>
        <w:t>16. HAP valuation judgment (ER / EV / Owner Earnings / Graham)</w:t>
      </w:r>
    </w:p>
    <w:p>
      <w:r>
        <w:t>Original analyst growth-rate cells and valuation formulas were not overwritten. Any HAP alternative appears as HAP ANALYSIS only and is not the applied model output. When evidence is insufficient, HAP explains why rather than inventing a fallback growth rate.</w:t>
      </w:r>
    </w:p>
    <w:p>
      <w:r>
        <w:t>Q3 initiation: distinguish reported nine-month YTD, standalone Q3, and projected full-year. Partial-year amounts must not feed annual valuation formulas without annualization.</w:t>
      </w:r>
    </w:p>
    <w:p>
      <w:pPr>
        <w:pStyle w:val="ListBullet"/>
      </w:pPr>
      <w:r>
        <w:t>Expected Returns: KEEP_EXISTING | original 0.010601833951226767</w:t>
      </w:r>
    </w:p>
    <w:p>
      <w:pPr>
        <w:pStyle w:val="ListBullet"/>
      </w:pPr>
      <w:r>
        <w:t>The workbook Expected Return projection is driven by A11 (1.1%; grain: retention × ROE when A11 is the driver), not by the B5 display (15.5%) unless a forecast formula actually references B5. Long-term EPS CAGR is 15.5%; recent 5-year EPS CAGR is 13.8%; recent EPS levels are FY2022 5.94, FY2023 6.54, FY2024 6.01, FY2025 6.78. Revenue CAGR 3.0% (5y 7.3%); operating-income CAGR 11.0% (5y 10.2%). ROE 11.0% and retention 9.6% imply g = 1.1%. Starting projected EPS D17=5.45 vs current EPS 6.78. Reten</w:t>
      </w:r>
    </w:p>
    <w:p>
      <w:pPr>
        <w:pStyle w:val="ListBullet"/>
      </w:pPr>
      <w:r>
        <w:t>Owner Earnings: KEEP_EXISTING | original 0.08271872273600644</w:t>
      </w:r>
    </w:p>
    <w:p>
      <w:pPr>
        <w:pStyle w:val="ListBullet"/>
      </w:pPr>
      <w:r>
        <w:t>The Enterprise Value forecast formula uses C6 (existing annualized assumption 8.3%). B6 (104.5%) is total_historical_change and is not treated as the prospective annual rate. OE identity NI+D&amp;A+CapEx: 10y OE CAGR 8.3%, 5y 7.5%, 3y -9.2%. NI CAGR 15.5% (5y 13.9%); operating income 11.0% (5y 10.2%); revenue 3.0%. Distortions: oe_depressed_start, ni_depressed_start. Although the independent evidence-derived range is -9.2%–13.9%, the existing assumption 8.3% remains consistent with the company's evi</w:t>
      </w:r>
    </w:p>
    <w:p>
      <w:pPr>
        <w:pStyle w:val="ListBullet"/>
      </w:pPr>
      <w:r>
        <w:t>Graham: KEEP_EXISTING | original 0.155242365869817</w:t>
      </w:r>
    </w:p>
    <w:p>
      <w:pPr>
        <w:pStyle w:val="ListBullet"/>
      </w:pPr>
      <w:r>
        <w:t>Graham uses Enterprise Value!B41 (15.5%) in the existing intrinsic-value formula (driver B41). True 10-year EPS CAGR from the EPS series is 15.5%; true 5-year EPS CAGR is 13.8%. Final Metrics C31 (3.9%) is not a 5-year EPS CAGR and is not revenue growth; it is ignored. Revenue CAGR 3.0%; operating-income CAGR 11.0%; EPS direction P. Distortions: eps_depressed_start. Although the independent evidence-derived range is -4.3%–13.8%, the existing assumption 15.5% remains consistent with the company's</w:t>
      </w:r>
    </w:p>
    <w:p>
      <w:r>
        <w:t>HAP_ANALYSIS cells (not original analyst data): Expected Returns &amp; Buybacks!K1, Expected Returns &amp; Buybacks!L2, Expected Returns &amp; Buybacks!L3, Expected Returns &amp; Buybacks!L4, Expected Returns &amp; Buybacks!L5, Expected Returns &amp; Buybacks!L6, Expected Returns &amp; Buybacks!L7, Expected Returns &amp; Buybacks!L8, Expected Returns &amp; Buybacks!L9, Expected Returns &amp; Buybacks!L10, Enterprise Value!T1, Enterprise Value!U2, Enterprise Value!U3, Enterprise Value!U4, Enterprise Value!U5, Enterprise Value!U6, Enterprise Value!U7, Enterprise Value!U11, Enterprise Value!U15, Enterprise Value!U16</w:t>
      </w:r>
    </w:p>
    <w:p>
      <w:pPr>
        <w:pStyle w:val="Heading1"/>
      </w:pPr>
      <w:r>
        <w:t>17. Analyst judgments and overrides</w:t>
      </w:r>
    </w:p>
    <w:p>
      <w:r>
        <w:t>R&amp;D useful life 5y is an AUTONOMOUS_AGENT_DECISION (agent_selected_analyst_assumption) and remains editable.</w:t>
      </w:r>
    </w:p>
    <w:p>
      <w:r>
        <w:t>Selected 5-year straight-line R&amp;D capitalization life. industrial product development cycle This is an AUTONOMOUS_AGENT_DECISION, not a measured accounting fact. An analyst may override it with a documented reason.</w:t>
      </w:r>
    </w:p>
    <w:p>
      <w:r>
        <w:t>Lease rate selected 0.04 (AUTONOMOUS_AGENT_DECISION; classification=disclosed). Analyst action none.</w:t>
      </w:r>
    </w:p>
    <w:p>
      <w:pPr>
        <w:pStyle w:val="Heading1"/>
      </w:pPr>
      <w:r>
        <w:t>18. Validation warnings and open issues</w:t>
      </w:r>
    </w:p>
    <w:p>
      <w:pPr>
        <w:pStyle w:val="ListBullet"/>
      </w:pPr>
      <w:r>
        <w:t>PE10_PERIOD_NOTE: fiscal year-end dates not supplied; nearest-date matching assumes calendar 31 Dec unless a dated CRF series is used.</w:t>
      </w:r>
    </w:p>
    <w:p>
      <w:pPr>
        <w:pStyle w:val="ListBullet"/>
      </w:pPr>
      <w:r>
        <w:t>PE10_PERIOD_NOTE: current PE10 and fiscal-year PE10 differ because they represent different as-of dates — informational, not a mismatch.</w:t>
      </w:r>
    </w:p>
    <w:p>
      <w:pPr>
        <w:pStyle w:val="ListBullet"/>
      </w:pPr>
      <w:r>
        <w:t>RD_USEFUL_LIFE_AGENT_SELECTED</w:t>
      </w:r>
      <w:r>
        <w:t xml:space="preserve"> — Investment significance: capitalized R&amp;D changes invested capital and ROIC; a wrong life can flip ROIC–WACC and the valuation conclusion.</w:t>
      </w:r>
    </w:p>
    <w:p>
      <w:pPr>
        <w:pStyle w:val="ListBullet"/>
      </w:pPr>
      <w:r>
        <w:t>LEASE_RATE_AUTONOMOUS_AGENT_DECISION</w:t>
      </w:r>
      <w:r>
        <w:t xml:space="preserve"> — Investment significance: the discount rate scales the lease liability added to invested capital and therefore ROIC and residual-income value.</w:t>
      </w:r>
    </w:p>
    <w:p>
      <w:pPr>
        <w:pStyle w:val="Heading1"/>
      </w:pPr>
      <w:r>
        <w:t>19. Sources and provenance</w:t>
      </w:r>
    </w:p>
    <w:p>
      <w:r>
        <w:t>Bloomberg Custom_Run_Filter (PE10/E10/current proprietary fields); SEC EDGAR 10-K/10-Q companyfacts; Industrial Template formulas after Excel COM CalculateFullRebuild.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