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N/A</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 to adhere to GDPR as they conduct business and collect personal identifiable information from people worldwide, including the E.U.</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due to the storage, acceptance, processes, and transmission of credit card information in person and online.</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credentials for internal and external (third-party vendor) personnel to mitigate risk and ensure data safety.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