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3A74" w14:textId="77777777" w:rsidR="000B0670" w:rsidRDefault="00510E46">
      <w:pPr>
        <w:pStyle w:val="aa"/>
      </w:pPr>
      <w:r>
        <w:t>楚物志数字版美术需求书</w:t>
      </w:r>
    </w:p>
    <w:p w14:paraId="4A8F4690" w14:textId="77777777" w:rsidR="00AE08F8" w:rsidRDefault="00203EFC">
      <w:pPr>
        <w:spacing w:before="140" w:after="180"/>
      </w:pPr>
      <w:r>
        <w:rPr>
          <w:b/>
          <w:sz w:val="32"/>
        </w:rPr>
        <w:t>目录</w:t>
      </w:r>
    </w:p>
    <w:p w14:paraId="085C0CCC" w14:textId="650775F5" w:rsidR="003738B2" w:rsidRDefault="003738B2">
      <w:pPr>
        <w:pStyle w:val="TOC1"/>
        <w:tabs>
          <w:tab w:val="right" w:leader="dot" w:pos="9628"/>
        </w:tabs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一 总览</w:t>
      </w:r>
    </w:p>
    <w:p w14:paraId="4E639898" w14:textId="78B30727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改进范围</w:t>
      </w:r>
    </w:p>
    <w:p w14:paraId="5DE1D8AE" w14:textId="652C975D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不改的素材</w:t>
      </w:r>
    </w:p>
    <w:p w14:paraId="3C4286C5" w14:textId="7366F1F5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整体风格</w:t>
      </w:r>
    </w:p>
    <w:p w14:paraId="5F38FB32" w14:textId="4528D85E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配图说明</w:t>
      </w:r>
    </w:p>
    <w:p w14:paraId="28099FE2" w14:textId="0F558E37" w:rsidR="003738B2" w:rsidRDefault="003738B2">
      <w:pPr>
        <w:pStyle w:val="TOC1"/>
        <w:tabs>
          <w:tab w:val="right" w:leader="dot" w:pos="9628"/>
        </w:tabs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二 通用UI</w:t>
      </w:r>
    </w:p>
    <w:p w14:paraId="1447581A" w14:textId="35626F94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按钮与图标</w:t>
      </w:r>
    </w:p>
    <w:p w14:paraId="100B9D5D" w14:textId="116B9AC0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操作状态</w:t>
      </w:r>
    </w:p>
    <w:p w14:paraId="28A0A9F1" w14:textId="2707EDB3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弹窗与卡牌承载</w:t>
      </w:r>
    </w:p>
    <w:p w14:paraId="36A43C06" w14:textId="2A83332A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遮罩与提示</w:t>
      </w:r>
    </w:p>
    <w:p w14:paraId="559F71DE" w14:textId="0FC33412" w:rsidR="003738B2" w:rsidRDefault="003738B2">
      <w:pPr>
        <w:pStyle w:val="TOC1"/>
        <w:tabs>
          <w:tab w:val="right" w:leader="dot" w:pos="9628"/>
        </w:tabs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三 主界面与开局</w:t>
      </w:r>
    </w:p>
    <w:p w14:paraId="60E03A9F" w14:textId="0625E274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首页背景与Logo</w:t>
      </w:r>
    </w:p>
    <w:p w14:paraId="1535D1F6" w14:textId="53223097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模式与人数选择</w:t>
      </w:r>
    </w:p>
    <w:p w14:paraId="4CC488EF" w14:textId="10686994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选择职业与起点</w:t>
      </w:r>
    </w:p>
    <w:p w14:paraId="2AC60601" w14:textId="732004C3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阵容确认与加载</w:t>
      </w:r>
    </w:p>
    <w:p w14:paraId="09E10B4A" w14:textId="3DEFF367" w:rsidR="003738B2" w:rsidRDefault="003738B2">
      <w:pPr>
        <w:pStyle w:val="TOC1"/>
        <w:tabs>
          <w:tab w:val="right" w:leader="dot" w:pos="9628"/>
        </w:tabs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四 局内界面</w:t>
      </w:r>
    </w:p>
    <w:p w14:paraId="197ACED5" w14:textId="3BC3A85D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主界面布局</w:t>
      </w:r>
    </w:p>
    <w:p w14:paraId="175D76A8" w14:textId="26C408A2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地图提示与常用按钮</w:t>
      </w:r>
    </w:p>
    <w:p w14:paraId="779DC420" w14:textId="19AF7D13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卡牌详情与国家级非遗</w:t>
      </w:r>
    </w:p>
    <w:p w14:paraId="7A79E932" w14:textId="3C84316F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事件选择与结算</w:t>
      </w:r>
    </w:p>
    <w:p w14:paraId="31F420D2" w14:textId="01D20ECB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商店 背包与研究所</w:t>
      </w:r>
    </w:p>
    <w:p w14:paraId="7D9BE34A" w14:textId="5520D76E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计分 暂停与最终结算</w:t>
      </w:r>
    </w:p>
    <w:p w14:paraId="606B8744" w14:textId="51AF8F35" w:rsidR="003738B2" w:rsidRDefault="003738B2">
      <w:pPr>
        <w:pStyle w:val="TOC1"/>
        <w:tabs>
          <w:tab w:val="right" w:leader="dot" w:pos="9628"/>
        </w:tabs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五 教程与规则手册</w:t>
      </w:r>
    </w:p>
    <w:p w14:paraId="18311F6F" w14:textId="7A079AEB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导航与正文</w:t>
      </w:r>
    </w:p>
    <w:p w14:paraId="2F8FB619" w14:textId="7760B3CD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快速上手与说明配图</w:t>
      </w:r>
    </w:p>
    <w:p w14:paraId="3749AF94" w14:textId="20FC5DBC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图鉴与放大查看</w:t>
      </w:r>
    </w:p>
    <w:p w14:paraId="20E19A15" w14:textId="27B9F9C3" w:rsidR="003738B2" w:rsidRDefault="003738B2">
      <w:pPr>
        <w:pStyle w:val="TOC1"/>
        <w:tabs>
          <w:tab w:val="right" w:leader="dot" w:pos="9628"/>
        </w:tabs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六 动画与特效</w:t>
      </w:r>
    </w:p>
    <w:p w14:paraId="09E0DEE4" w14:textId="7A7F6C34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投骰子</w:t>
      </w:r>
    </w:p>
    <w:p w14:paraId="12D37A57" w14:textId="59BC35BE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卡牌 移动与资源反馈</w:t>
      </w:r>
    </w:p>
    <w:p w14:paraId="56092735" w14:textId="0ED5F05D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结果与节奏</w:t>
      </w:r>
    </w:p>
    <w:p w14:paraId="383200A9" w14:textId="130DC143" w:rsidR="003738B2" w:rsidRDefault="003738B2">
      <w:pPr>
        <w:pStyle w:val="TOC1"/>
        <w:tabs>
          <w:tab w:val="right" w:leader="dot" w:pos="9628"/>
        </w:tabs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七 传承任务由开发侧制作</w:t>
      </w:r>
    </w:p>
    <w:p w14:paraId="71501627" w14:textId="6E7E78D4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责任与风格边界</w:t>
      </w:r>
    </w:p>
    <w:p w14:paraId="50BE3F10" w14:textId="53D7BC79" w:rsidR="003738B2" w:rsidRDefault="003738B2">
      <w:pPr>
        <w:pStyle w:val="TOC1"/>
        <w:tabs>
          <w:tab w:val="right" w:leader="dot" w:pos="9628"/>
        </w:tabs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八 交付要求</w:t>
      </w:r>
    </w:p>
    <w:p w14:paraId="2D8616D0" w14:textId="6D084CD7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文件与尺寸</w:t>
      </w:r>
    </w:p>
    <w:p w14:paraId="0C2606C7" w14:textId="1CE0B5A1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命名与接入</w:t>
      </w:r>
    </w:p>
    <w:p w14:paraId="29DEB246" w14:textId="0D6F0856" w:rsidR="003738B2" w:rsidRDefault="003738B2">
      <w:pPr>
        <w:pStyle w:val="TOC2"/>
        <w:tabs>
          <w:tab w:val="right" w:leader="dot" w:pos="9628"/>
        </w:tabs>
        <w:ind w:left="440"/>
        <w:rPr>
          <w:noProof/>
          <w:color w:val="auto"/>
          <w:kern w:val="2"/>
          <w:szCs w:val="24"/>
          <w:lang w:val="en-US"/>
          <w14:ligatures w14:val="standardContextual"/>
        </w:rPr>
      </w:pPr>
      <w:r>
        <w:t>交稿检查</w:t>
      </w:r>
    </w:p>
    <w:p w14:paraId="7592D4A8" w14:textId="5F69E0D3" w:rsidR="00AE08F8" w:rsidRDefault="003738B2">
      <w:r>
        <w:fldChar w:fldCharType="end"/>
      </w:r>
    </w:p>
    <w:p w14:paraId="1CF522C6" w14:textId="77777777" w:rsidR="000B0670" w:rsidRDefault="00510E46">
      <w:pPr>
        <w:pStyle w:val="1"/>
        <w:pageBreakBefore/>
      </w:pPr>
      <w:bookmarkStart w:id="0" w:name="_Toc239714704"/>
      <w:r>
        <w:lastRenderedPageBreak/>
        <w:t>一 总览</w:t>
      </w:r>
      <w:bookmarkEnd w:id="0"/>
    </w:p>
    <w:p w14:paraId="0343D595" w14:textId="77777777" w:rsidR="000B0670" w:rsidRDefault="00510E46">
      <w:r>
        <w:t>本需求书供美术制作数字版界面与配套素材。重点是让玩家看得清、找得到、操作有反馈；已有好用的结构和精美素材继续使用，不要求全部推倒重画。</w:t>
      </w:r>
    </w:p>
    <w:p w14:paraId="5C656BD3" w14:textId="77777777" w:rsidR="000B0670" w:rsidRDefault="00510E46">
      <w:pPr>
        <w:pStyle w:val="21"/>
      </w:pPr>
      <w:bookmarkStart w:id="1" w:name="_Toc239714705"/>
      <w:r>
        <w:t>改进范围</w:t>
      </w:r>
      <w:bookmarkEnd w:id="1"/>
    </w:p>
    <w:p w14:paraId="39E66E6C" w14:textId="77777777" w:rsidR="000B0670" w:rsidRDefault="00510E46">
      <w:r>
        <w:t>本需求书由美术老师负责的范围为主界面与开局流程、局内界面、教程与规则手册，以及新版首页背景、Logo、常用图标、投骰子和必要的卡牌、移动、资源反馈。2026年9月13日起，十五项传承小游戏的全套场景、人物、装束、动画、器物、封面及小游戏UI/UX统一由GPT‑6负责制作、整理和接入，不再计入美术老师交付量。</w:t>
      </w:r>
    </w:p>
    <w:p w14:paraId="5826FDE0" w14:textId="77777777" w:rsidR="000B0670" w:rsidRDefault="00510E46">
      <w:pPr>
        <w:pStyle w:val="21"/>
      </w:pPr>
      <w:bookmarkStart w:id="2" w:name="_Toc239714706"/>
      <w:r>
        <w:t>不改的素材</w:t>
      </w:r>
      <w:bookmarkEnd w:id="2"/>
    </w:p>
    <w:p w14:paraId="6AE64FA4" w14:textId="77777777" w:rsidR="000B0670" w:rsidRDefault="00510E46">
      <w:r>
        <w:t>原桌游的非遗牌、食物牌、事件牌、成就牌、地图、角色立绘和棋子全部保留，</w:t>
      </w:r>
      <w:r>
        <w:rPr>
          <w:b/>
        </w:rPr>
        <w:t>不重绘、不改字、不调色、不覆盖原文件</w:t>
      </w:r>
      <w:r>
        <w:t>。可以调整它们在界面里的大小、裁切和承载框；卡牌正文及地图中的有效信息不能被裁掉。阴影和特效另做一层。</w:t>
      </w:r>
    </w:p>
    <w:p w14:paraId="208A3B8B" w14:textId="77777777" w:rsidR="000B0670" w:rsidRDefault="00510E46">
      <w:r>
        <w:t>首页可以新画六名角色的湖北行旅群像，但服饰、外貌和职业设定沿用原设，不替换游戏内原立绘。</w:t>
      </w:r>
    </w:p>
    <w:p w14:paraId="721B0BCD" w14:textId="77777777" w:rsidR="000B0670" w:rsidRDefault="00510E46">
      <w:pPr>
        <w:pStyle w:val="21"/>
      </w:pPr>
      <w:bookmarkStart w:id="3" w:name="_Toc239714707"/>
      <w:r>
        <w:t>整体风格</w:t>
      </w:r>
      <w:bookmarkEnd w:id="3"/>
    </w:p>
    <w:p w14:paraId="12A09C2E" w14:textId="77777777" w:rsidR="000B0670" w:rsidRDefault="00510E46">
      <w:r>
        <w:t>沿用“</w:t>
      </w:r>
      <w:r>
        <w:rPr>
          <w:b/>
        </w:rPr>
        <w:t>水墨行旅 × 现代派对游戏</w:t>
      </w:r>
      <w:r>
        <w:t>”方向：地图、人物、牌面负责呈现文化内容，界面用清楚的层级和轻快反馈组织操作。以米色、棕色、柔和金色为主，地域色少量点缀。减少粗框、大块橙色和重复白纹；水墨、纸张、印章只在需要区分层级的地方使用。</w:t>
      </w:r>
    </w:p>
    <w:p w14:paraId="369448FC" w14:textId="77777777" w:rsidR="000B0670" w:rsidRDefault="00510E46">
      <w:r>
        <w:t>游戏标题可以有书写感，长篇正文用清晰的常规字体，数字要容易辨认。不要让所有文字都用像素字体或描边字。字体方案需附授权与替代字体。</w:t>
      </w:r>
    </w:p>
    <w:p w14:paraId="71C0AED4" w14:textId="77777777" w:rsidR="000B0670" w:rsidRDefault="00510E46">
      <w:pPr>
        <w:pStyle w:val="21"/>
      </w:pPr>
      <w:bookmarkStart w:id="4" w:name="_Toc239714708"/>
      <w:r>
        <w:t>配图说明</w:t>
      </w:r>
      <w:bookmarkEnd w:id="4"/>
    </w:p>
    <w:p w14:paraId="07FFFF91" w14:textId="77777777" w:rsidR="000B0670" w:rsidRDefault="00510E46">
      <w:r>
        <w:t>文中实机图沿用2026年9月3日取证，版本为beta 0.5.0，Git 4122e72。用于对照现状，不代表最新版本，也不是目标效果图。配图中的原牌面、地图和人物均按上述范围保留；截图里的测试玩家名不属于正式美术。</w:t>
      </w:r>
    </w:p>
    <w:p w14:paraId="02FC1D98" w14:textId="77777777" w:rsidR="000B0670" w:rsidRDefault="00510E46">
      <w:pPr>
        <w:pStyle w:val="1"/>
      </w:pPr>
      <w:bookmarkStart w:id="5" w:name="_Toc239714709"/>
      <w:r>
        <w:lastRenderedPageBreak/>
        <w:t>二 通用UI</w:t>
      </w:r>
      <w:bookmarkEnd w:id="5"/>
    </w:p>
    <w:p w14:paraId="1D080160" w14:textId="77777777" w:rsidR="000B0670" w:rsidRDefault="00510E46">
      <w:pPr>
        <w:pStyle w:val="21"/>
      </w:pPr>
      <w:bookmarkStart w:id="6" w:name="_Toc239714710"/>
      <w:r>
        <w:t>按钮与图标</w:t>
      </w:r>
      <w:bookmarkEnd w:id="6"/>
    </w:p>
    <w:p w14:paraId="57297959" w14:textId="77777777" w:rsidR="000B0670" w:rsidRDefault="00510E46">
      <w:r>
        <w:t>主按钮突出当前最重要的操作；返回、查看等次按钮降低视觉重量；退出、放弃等危险操作与普通确认区分。统一圆角、线宽、文字位置和按压幅度，避免每个弹窗使用不同按钮。按钮尺寸以实际界面阅读和操作为准，不把整张画布都当成可见按钮。</w:t>
      </w:r>
    </w:p>
    <w:p w14:paraId="6D212206" w14:textId="77777777" w:rsidR="000B0670" w:rsidRDefault="00510E46">
      <w:r>
        <w:t>指南、暂停、关闭、返回使用同一图标族。图标在底板中居中，视觉大小一致，不加固定的左上角高光。较小的可见图形可以配稍大的点击范围，但相邻范围不能重叠。</w:t>
      </w:r>
    </w:p>
    <w:p w14:paraId="2B232017" w14:textId="77777777" w:rsidR="000B0670" w:rsidRDefault="00510E46">
      <w:r>
        <w:rPr>
          <w:b/>
        </w:rPr>
        <w:t>交付：</w:t>
      </w:r>
      <w:r>
        <w:t>主、次、危险、图标、加减五类按钮底板；指南、暂停、关闭、返回等共用图标；状态示意。可拉宽的按钮交九宫格切片，文字由程序显示，不逐个画带字按钮。</w:t>
      </w:r>
    </w:p>
    <w:p w14:paraId="7D92D902" w14:textId="77777777" w:rsidR="000B0670" w:rsidRDefault="00510E46">
      <w:pPr>
        <w:pStyle w:val="21"/>
      </w:pPr>
      <w:bookmarkStart w:id="7" w:name="_Toc239714711"/>
      <w:r>
        <w:t>操作状态</w:t>
      </w:r>
      <w:bookmarkEnd w:id="7"/>
    </w:p>
    <w:p w14:paraId="059C2CF2" w14:textId="77777777" w:rsidR="000B0670" w:rsidRDefault="00510E46">
      <w:r>
        <w:t>状态在整套界面中使用同一含义，不只靠变色区分。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0B0670" w14:paraId="4D44B6D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left w:w="95" w:type="dxa"/>
              <w:right w:w="95" w:type="dxa"/>
            </w:tcMar>
            <w:vAlign w:val="center"/>
          </w:tcPr>
          <w:p w14:paraId="53750645" w14:textId="77777777" w:rsidR="000B0670" w:rsidRDefault="00510E46">
            <w:pPr>
              <w:spacing w:before="60" w:after="60" w:line="276" w:lineRule="auto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left w:w="95" w:type="dxa"/>
              <w:right w:w="95" w:type="dxa"/>
            </w:tcMar>
            <w:vAlign w:val="center"/>
          </w:tcPr>
          <w:p w14:paraId="4B7E7469" w14:textId="77777777" w:rsidR="000B0670" w:rsidRDefault="00510E46">
            <w:pPr>
              <w:spacing w:before="60" w:after="60" w:line="276" w:lineRule="auto"/>
            </w:pPr>
            <w:r>
              <w:rPr>
                <w:b/>
                <w:sz w:val="21"/>
              </w:rPr>
              <w:t>应有的反馈</w:t>
            </w:r>
          </w:p>
        </w:tc>
      </w:tr>
      <w:tr w:rsidR="000B0670" w14:paraId="1A00950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0270FA6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普通与悬浮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5904053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普通状态安静；鼠标移入时轻微提亮或描边，移出即恢复。</w:t>
            </w:r>
          </w:p>
        </w:tc>
      </w:tr>
      <w:tr w:rsidR="000B0670" w14:paraId="4D2A6B5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236133F0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焦点与按下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312393B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方向键或手柄开始导航后显示焦点框；按下有短促压低或缩放，不能遮字。</w:t>
            </w:r>
          </w:p>
        </w:tc>
      </w:tr>
      <w:tr w:rsidR="000B0670" w14:paraId="6BDF38D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F65D44E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已选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308EA867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用勾选、描边或短标签持续标记，与临时悬浮区分。</w:t>
            </w:r>
          </w:p>
        </w:tc>
      </w:tr>
      <w:tr w:rsidR="000B0670" w14:paraId="473D3FDD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D940CCE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已占用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3BC3B56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写明占用者，如“P1 已选”；可查看详情但不可确认。</w:t>
            </w:r>
          </w:p>
        </w:tc>
      </w:tr>
      <w:tr w:rsidR="000B0670" w14:paraId="3CD1358B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13C7D129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已确认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73AFDD7F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清楚表示配置完成，仍能看懂如何返回修改。</w:t>
            </w:r>
          </w:p>
        </w:tc>
      </w:tr>
      <w:tr w:rsidR="000B0670" w14:paraId="64EC8F12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40FFD842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不可用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32182FBF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降低对比，但文字可读；需要说明时就近显示短原因。</w:t>
            </w:r>
          </w:p>
        </w:tc>
      </w:tr>
    </w:tbl>
    <w:p w14:paraId="623999D3" w14:textId="77777777" w:rsidR="000B0670" w:rsidRDefault="000B0670">
      <w:pPr>
        <w:spacing w:after="0"/>
      </w:pPr>
    </w:p>
    <w:p w14:paraId="56CF3042" w14:textId="77777777" w:rsidR="000B0670" w:rsidRDefault="00510E46">
      <w:r>
        <w:t>仅鼠标操作时，不默认亮起一圈手柄焦点框。鼠标离开职业或起点选项后，预览恢复为已选内容；不能把最后悬浮的选项误当成已确认结果。这些行为由程序实现，美术需给出对应状态效果。</w:t>
      </w:r>
    </w:p>
    <w:p w14:paraId="657B3070" w14:textId="77777777" w:rsidR="000B0670" w:rsidRDefault="00510E46">
      <w:pPr>
        <w:pStyle w:val="21"/>
      </w:pPr>
      <w:bookmarkStart w:id="8" w:name="_Toc239714712"/>
      <w:r>
        <w:t>弹窗与卡牌承载</w:t>
      </w:r>
      <w:bookmarkEnd w:id="8"/>
    </w:p>
    <w:p w14:paraId="41FE1812" w14:textId="77777777" w:rsidR="000B0670" w:rsidRDefault="00510E46">
      <w:r>
        <w:t>共用四套布局：卡牌详情、卡牌陈列、交易、事件。每套可随内容改变宽高，保留统一的标题栏、关闭区、内容区和底部操作区。长内容滚动时，确认与返回仍能看见；短内容不撑成空荡的大框。</w:t>
      </w:r>
    </w:p>
    <w:p w14:paraId="4BEE4D25" w14:textId="77777777" w:rsidR="000B0670" w:rsidRDefault="00510E46">
      <w:r>
        <w:lastRenderedPageBreak/>
        <w:t>卡牌按原比例展示，边框和阴影不要压住牌面。陈列多张牌时统一顶边与间距；选中标记放在卡外或不遮文字的位置。空卡槽、锁定卡位和已选卡位共用底板，不给每张牌另做外框。</w:t>
      </w:r>
    </w:p>
    <w:p w14:paraId="10125FC8" w14:textId="77777777" w:rsidR="000B0670" w:rsidRDefault="00510E46">
      <w:r>
        <w:rPr>
          <w:b/>
        </w:rPr>
        <w:t>交付：</w:t>
      </w:r>
      <w:r>
        <w:t>四类弹窗样式稿、可拉伸底板、标题及操作区切片；横竖卡槽、空位、选中和锁定附加层。附一张多行标题与长正文示例，说明内容增多时如何展开。</w:t>
      </w:r>
    </w:p>
    <w:p w14:paraId="2BF13F3E" w14:textId="77777777" w:rsidR="000B0670" w:rsidRDefault="00510E46">
      <w:pPr>
        <w:pStyle w:val="21"/>
      </w:pPr>
      <w:bookmarkStart w:id="9" w:name="_Toc239714713"/>
      <w:r>
        <w:t>遮罩与提示</w:t>
      </w:r>
      <w:bookmarkEnd w:id="9"/>
    </w:p>
    <w:p w14:paraId="61140137" w14:textId="77777777" w:rsidR="000B0670" w:rsidRDefault="00510E46">
      <w:r>
        <w:t>二级弹窗打开时，后台界面连同指南、暂停、关闭按钮一起变暗且不能点。地图选点本身不算二级弹窗，不应因此遮住暂停。遮罩应覆盖后台，不能盖在当前选项上方。这是接入要求，不需要为每种弹窗另画整屏黑图。</w:t>
      </w:r>
    </w:p>
    <w:p w14:paraId="577F9710" w14:textId="77777777" w:rsidR="000B0670" w:rsidRDefault="00510E46">
      <w:r>
        <w:t>短提示不抢焦点、不强迫确认；悬浮信息只补充细节，不承担必读规则。统一搜索框、标签页、筛选勾选、滚动条、分页和键帽样式。交付上述控件的普通、选中、禁用状态及键鼠／手柄提示图标；已有可用图标可整理复用。</w:t>
      </w:r>
    </w:p>
    <w:p w14:paraId="54D312DC" w14:textId="77777777" w:rsidR="000B0670" w:rsidRDefault="00510E46">
      <w:pPr>
        <w:pStyle w:val="1"/>
      </w:pPr>
      <w:bookmarkStart w:id="10" w:name="_Toc239714714"/>
      <w:r>
        <w:t>三 主界面与开局</w:t>
      </w:r>
      <w:bookmarkEnd w:id="10"/>
    </w:p>
    <w:p w14:paraId="408757CA" w14:textId="35BD1B10" w:rsidR="000B0670" w:rsidRDefault="00510E46">
      <w:r>
        <w:t>开局流程：首页 → 模式选择 → 人数配置 → 逐位配置 → 阵容确认 → 加载。重做</w:t>
      </w:r>
      <w:r w:rsidR="00522357">
        <w:rPr>
          <w:rFonts w:hint="eastAsia"/>
        </w:rPr>
        <w:t>UI。</w:t>
      </w:r>
    </w:p>
    <w:p w14:paraId="233FC05E" w14:textId="00209D90" w:rsidR="000B0670" w:rsidRDefault="00510E46">
      <w:pPr>
        <w:pStyle w:val="21"/>
      </w:pPr>
      <w:bookmarkStart w:id="11" w:name="_Toc239714715"/>
      <w:r>
        <w:t>首页背景与Logo</w:t>
      </w:r>
      <w:bookmarkEnd w:id="11"/>
      <w:r w:rsidR="00AA2E0E">
        <w:rPr>
          <w:rFonts w:hint="eastAsia"/>
        </w:rPr>
        <w:t>（优先级：5/5；数字越大越优先重做）</w:t>
      </w:r>
    </w:p>
    <w:p w14:paraId="5FC3A3C6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6A721E46" wp14:editId="37005CF7">
            <wp:extent cx="6120000" cy="3442500"/>
            <wp:effectExtent l="0" t="0" r="0" b="0"/>
            <wp:docPr id="1" name="Picture 1" descr="图1 首页现状。中央大面板占据主要画面，背景人物与操作区争夺空间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C3A9" w14:textId="21BFDABA" w:rsidR="000B0670" w:rsidRDefault="00510E46">
      <w:pPr>
        <w:pStyle w:val="af7"/>
        <w:jc w:val="center"/>
      </w:pPr>
      <w:r>
        <w:t>图1 首页现状。中央大面板占据主要画面，背景人物与操作区争夺空间</w:t>
      </w:r>
      <w:r w:rsidR="00AB5E7D">
        <w:rPr>
          <w:rFonts w:hint="eastAsia"/>
        </w:rPr>
        <w:t>，很丑</w:t>
      </w:r>
      <w:r>
        <w:t>。</w:t>
      </w:r>
    </w:p>
    <w:p w14:paraId="07551758" w14:textId="7F97EEBC" w:rsidR="000B0670" w:rsidRDefault="00510E46">
      <w:r>
        <w:lastRenderedPageBreak/>
        <w:t>新版背景</w:t>
      </w:r>
      <w:r w:rsidR="00EE156A">
        <w:rPr>
          <w:rFonts w:hint="eastAsia"/>
        </w:rPr>
        <w:t>可以</w:t>
      </w:r>
      <w:r>
        <w:t>画六名角色在湖北行旅的群像，有环境、有角色间的关系，但不挤成六张独立立绘拼贴。构图给Logo和按钮留安静区域；人物不能被主按钮成片遮住。远景可以用已有地域意象，细节不需要铺满屏幕。</w:t>
      </w:r>
    </w:p>
    <w:p w14:paraId="666D42A3" w14:textId="77777777" w:rsidR="000B0670" w:rsidRDefault="00510E46">
      <w:r>
        <w:t>背景、远景、中景、六名人物、前景和氛围光分层。静止画面也要完整；视差只是可选增强，不依赖持续飘动才能成立。主界面保留开始游戏、游戏说明、制作人员、退出游戏四个入口，</w:t>
      </w:r>
      <w:r>
        <w:rPr>
          <w:b/>
        </w:rPr>
        <w:t>不把按钮、文字、面板或Logo烘进背景</w:t>
      </w:r>
      <w:r>
        <w:t>。</w:t>
      </w:r>
    </w:p>
    <w:p w14:paraId="08A265D9" w14:textId="77777777" w:rsidR="000B0670" w:rsidRDefault="00510E46">
      <w:r>
        <w:rPr>
          <w:b/>
        </w:rPr>
        <w:t>交付：</w:t>
      </w:r>
      <w:r>
        <w:t>分层背景母版、各层导出、完整合成预览及各屏幕比例安全区；新版Logo主标志、横版字标、小尺寸简化版、单色版。Logo文字仍为“楚物志”，小尺寸下不糊成金色一团。</w:t>
      </w:r>
    </w:p>
    <w:p w14:paraId="5929E842" w14:textId="77777777" w:rsidR="000B0670" w:rsidRDefault="00510E46">
      <w:r>
        <w:t>背景母版4096×2560。以16:10构图为基础，检查16:9、4:3和超宽：4:3不能切掉关键角色面部，超宽可以延伸环境，不横向拉胖人物。允许重新安排新群像的位置，但原角色设定不改。</w:t>
      </w:r>
    </w:p>
    <w:p w14:paraId="37C00F2F" w14:textId="1B9190CB" w:rsidR="000B0670" w:rsidRDefault="00510E46">
      <w:pPr>
        <w:pStyle w:val="21"/>
      </w:pPr>
      <w:bookmarkStart w:id="12" w:name="_Toc239714716"/>
      <w:r>
        <w:t>模式与人数选择</w:t>
      </w:r>
      <w:bookmarkEnd w:id="12"/>
      <w:r w:rsidR="00AA2E0E">
        <w:rPr>
          <w:rFonts w:hint="eastAsia"/>
        </w:rPr>
        <w:t>（优先级：3/5）</w:t>
      </w:r>
    </w:p>
    <w:p w14:paraId="5E13446E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3FB3B09" wp14:editId="781490CC">
            <wp:extent cx="6120000" cy="3281635"/>
            <wp:effectExtent l="0" t="0" r="0" b="0"/>
            <wp:docPr id="2" name="Picture 2" descr="图2 模式选择现状。三项入口可以共用卡片，主次和未开放状态需更清楚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.png"/>
                    <pic:cNvPicPr/>
                  </pic:nvPicPr>
                  <pic:blipFill>
                    <a:blip r:embed="rId9"/>
                    <a:srcRect l="7200" t="9100" r="7200" b="93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1F4E" w14:textId="3A6AD06B" w:rsidR="000B0670" w:rsidRDefault="00510E46">
      <w:pPr>
        <w:pStyle w:val="af7"/>
        <w:jc w:val="center"/>
      </w:pPr>
      <w:r>
        <w:t>图2 模式选择现状。三项入口可以共用卡片，主次和未开放状态需更清楚。</w:t>
      </w:r>
    </w:p>
    <w:p w14:paraId="24FECA08" w14:textId="77777777" w:rsidR="000B0670" w:rsidRDefault="00510E46">
      <w:r>
        <w:t>本地游戏作为可用的主入口；网络游戏与教学模式保留可聚焦、可点击的入口和“暂未开放”提示，不为其新增完整美术页面。标题、返回位置和选择反馈与后续开局页保持一致。</w:t>
      </w:r>
    </w:p>
    <w:p w14:paraId="5D994E73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803DBB8" wp14:editId="5710F430">
            <wp:extent cx="4729232" cy="3528000"/>
            <wp:effectExtent l="0" t="0" r="0" b="0"/>
            <wp:docPr id="3" name="Picture 3" descr="图3 人数配置现状。人数操作应最醒目，目标分数放在次要位置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_count.png"/>
                    <pic:cNvPicPr/>
                  </pic:nvPicPr>
                  <pic:blipFill>
                    <a:blip r:embed="rId10"/>
                    <a:srcRect l="17200" t="6500" r="17200" b="6500"/>
                    <a:stretch>
                      <a:fillRect/>
                    </a:stretch>
                  </pic:blipFill>
                  <pic:spPr>
                    <a:xfrm>
                      <a:off x="0" y="0"/>
                      <a:ext cx="4729232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7ECC" w14:textId="77777777" w:rsidR="000B0670" w:rsidRDefault="00510E46">
      <w:pPr>
        <w:pStyle w:val="af7"/>
        <w:jc w:val="center"/>
      </w:pPr>
      <w:r>
        <w:t>图3 人数配置现状。人数操作应最醒目，目标分数放在次要位置。（beta 0.5.0取证）</w:t>
      </w:r>
    </w:p>
    <w:p w14:paraId="4D043CF6" w14:textId="77777777" w:rsidR="000B0670" w:rsidRDefault="00510E46">
      <w:r>
        <w:t>人数区用清楚的加减按钮和总人数提示，支持总人数1—6，至少一个本地玩家席位。达到边界时相应按钮不可用。不要用“真人”给玩家贴标签；电脑席位用“AI”标记，必要说明保留为一行短提示。目标分数是附加设置，不做成整个页面的视觉重点。</w:t>
      </w:r>
    </w:p>
    <w:p w14:paraId="36A395F0" w14:textId="77777777" w:rsidR="000B0670" w:rsidRDefault="00510E46">
      <w:r>
        <w:rPr>
          <w:b/>
        </w:rPr>
        <w:t>交付：</w:t>
      </w:r>
      <w:r>
        <w:t>模式卡片、人数行、加减按钮、AI标记及页面排版稿。按钮底板复用通用组件；本地、网络、教学如需图标，风格和面积一致，不为占位模式画大幅专属插画。</w:t>
      </w:r>
    </w:p>
    <w:p w14:paraId="3CBBF998" w14:textId="2A5B2F1B" w:rsidR="000B0670" w:rsidRDefault="00510E46">
      <w:pPr>
        <w:pStyle w:val="21"/>
      </w:pPr>
      <w:bookmarkStart w:id="13" w:name="_Toc239714717"/>
      <w:r>
        <w:lastRenderedPageBreak/>
        <w:t>选择职业与起点</w:t>
      </w:r>
      <w:bookmarkEnd w:id="13"/>
      <w:r w:rsidR="00AA2E0E">
        <w:rPr>
          <w:rFonts w:hint="eastAsia"/>
        </w:rPr>
        <w:t>（优先级2/5）</w:t>
      </w:r>
    </w:p>
    <w:p w14:paraId="12631B28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4074C72E" wp14:editId="5B09FF35">
            <wp:extent cx="6120000" cy="3442500"/>
            <wp:effectExtent l="0" t="0" r="0" b="0"/>
            <wp:docPr id="4" name="Picture 4" descr="图4 选角现状局部。原立绘保留；卡片、职业详情和起点选择需建立主次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er_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8653" w14:textId="09DBDA6A" w:rsidR="000B0670" w:rsidRDefault="00510E46">
      <w:pPr>
        <w:pStyle w:val="af7"/>
        <w:jc w:val="center"/>
      </w:pPr>
      <w:r>
        <w:t>图4 选角现状局部。原立绘保留；卡片、职业详情和起点选择需建立主次。</w:t>
      </w:r>
    </w:p>
    <w:p w14:paraId="77CF1237" w14:textId="77777777" w:rsidR="000B0670" w:rsidRDefault="00510E46">
      <w:r>
        <w:t>每位玩家在同页完成名字、职业和起点。职业与角色绑定，六职业仍用2×3卡片选择，当前角色立绘放大显示；职业名、技能名与效果直接可读，不靠悬浮提示解释。名字和起点可一眼找到，但不抢过职业主区。</w:t>
      </w:r>
    </w:p>
    <w:p w14:paraId="5DFAAFC1" w14:textId="77777777" w:rsidR="000B0670" w:rsidRDefault="00510E46">
      <w:r>
        <w:t>顶部说明当前席位及配置进度，例如P2、2／4。职业与起点均需区分可选、已选、被其他玩家占用三种情况；占用者标签要清楚。地图热点与列表同步，热点不能相互盖住，也不要把真实地图重新画成另一套规则地图。</w:t>
      </w:r>
    </w:p>
    <w:p w14:paraId="75356EFA" w14:textId="77777777" w:rsidR="000B0670" w:rsidRDefault="00510E46">
      <w:r>
        <w:rPr>
          <w:b/>
        </w:rPr>
        <w:t>确认后，职业与起点保持锁定显示。</w:t>
      </w:r>
      <w:r>
        <w:t>预览其他选项可以临时更新详情，鼠标离开就回到已选内容。下方确认、返回位置固定，输入长名字或查看长技能时不能被挤出屏幕。</w:t>
      </w:r>
    </w:p>
    <w:p w14:paraId="1DEF744B" w14:textId="77777777" w:rsidR="000B0670" w:rsidRDefault="00510E46">
      <w:r>
        <w:rPr>
          <w:b/>
        </w:rPr>
        <w:t>交付：</w:t>
      </w:r>
      <w:r>
        <w:t>完整配置页稿、职业卡及占用标签、立绘承载区、名字输入框、起点热点与列表项。原立绘、职业内容及地图继续读取现有素材；交付可替换外框，不交改画后的六张人物图。</w:t>
      </w:r>
    </w:p>
    <w:p w14:paraId="064D2450" w14:textId="51CDAC94" w:rsidR="000B0670" w:rsidRDefault="00510E46">
      <w:pPr>
        <w:pStyle w:val="21"/>
      </w:pPr>
      <w:bookmarkStart w:id="14" w:name="_Toc239714718"/>
      <w:r>
        <w:lastRenderedPageBreak/>
        <w:t>阵容确认与加载</w:t>
      </w:r>
      <w:bookmarkEnd w:id="14"/>
      <w:r w:rsidR="00AA2E0E">
        <w:rPr>
          <w:rFonts w:hint="eastAsia"/>
        </w:rPr>
        <w:t>（优先级1/5）</w:t>
      </w:r>
    </w:p>
    <w:p w14:paraId="5876B3FA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99089BE" wp14:editId="290110AC">
            <wp:extent cx="6120000" cy="3442500"/>
            <wp:effectExtent l="0" t="0" r="0" b="0"/>
            <wp:docPr id="5" name="Picture 5" descr="图5 阵容确认现状局部。重点调整人物比例、信息排列和少人数时的构图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7062" w14:textId="3FF3DFC2" w:rsidR="000B0670" w:rsidRDefault="00510E46">
      <w:pPr>
        <w:pStyle w:val="af7"/>
        <w:jc w:val="center"/>
      </w:pPr>
      <w:r>
        <w:t>图5 阵容确认现状局部。重点调整人物比例、信息排列和少人数时的构图。</w:t>
      </w:r>
    </w:p>
    <w:p w14:paraId="1C5B5564" w14:textId="77777777" w:rsidR="000B0670" w:rsidRDefault="00510E46">
      <w:r>
        <w:t>玩家卡以角色为主，立绘下方左半是名字和席位号，右半是职业及地名；不写“出生”，不写“真人”，只在电脑席位标“AI”。文字不要排成又细又长的一列。点击玩家卡可返回编辑，卡片需有可操作反馈。</w:t>
      </w:r>
    </w:p>
    <w:p w14:paraId="76E7A57B" w14:textId="77777777" w:rsidR="000B0670" w:rsidRDefault="00510E46">
      <w:r>
        <w:t>一人、二人、三人、六人都要能自然排布。人数少时适当放大并居中，不留下六个空洞；六人时仍能看清名字、职业和地点。开始按钮在全员配置合法时突出，不抢占大半个底栏。</w:t>
      </w:r>
    </w:p>
    <w:p w14:paraId="2FC45CD1" w14:textId="77777777" w:rsidR="000B0670" w:rsidRDefault="00510E46">
      <w:r>
        <w:rPr>
          <w:b/>
        </w:rPr>
        <w:t>交付：</w:t>
      </w:r>
      <w:r>
        <w:t>阵容卡、悬浮／焦点／确认状态，以及1、2、3、6人的布局示例。加载页复用背景，只显示“准备中”和简短循环动效，不做虚假百分比。离开或删减已配置席位的确认框、错误短提示沿用通用组件。</w:t>
      </w:r>
    </w:p>
    <w:p w14:paraId="1B297E97" w14:textId="77777777" w:rsidR="000B0670" w:rsidRDefault="00510E46">
      <w:pPr>
        <w:pStyle w:val="1"/>
      </w:pPr>
      <w:bookmarkStart w:id="15" w:name="_Toc239714719"/>
      <w:r>
        <w:lastRenderedPageBreak/>
        <w:t>四 局内界面</w:t>
      </w:r>
      <w:bookmarkEnd w:id="15"/>
    </w:p>
    <w:p w14:paraId="21EA3755" w14:textId="72634EE8" w:rsidR="000B0670" w:rsidRDefault="00510E46">
      <w:pPr>
        <w:pStyle w:val="21"/>
      </w:pPr>
      <w:bookmarkStart w:id="16" w:name="_Toc239714720"/>
      <w:r>
        <w:t>主界面布局</w:t>
      </w:r>
      <w:bookmarkEnd w:id="16"/>
      <w:r w:rsidR="00AA2E0E">
        <w:rPr>
          <w:rFonts w:hint="eastAsia"/>
        </w:rPr>
        <w:t>（优先级：3/5）</w:t>
      </w:r>
    </w:p>
    <w:p w14:paraId="31596E81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28E95760" wp14:editId="1AC9BCE4">
            <wp:extent cx="5644800" cy="3528000"/>
            <wp:effectExtent l="0" t="0" r="0" b="0"/>
            <wp:docPr id="6" name="Picture 6" descr="图6 局内全貌。保留左侧玩家、中央地图、右侧收藏、底部操作的基本结构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h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48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0E4C" w14:textId="5F9F72E9" w:rsidR="000B0670" w:rsidRDefault="00510E46">
      <w:pPr>
        <w:pStyle w:val="af7"/>
        <w:jc w:val="center"/>
      </w:pPr>
      <w:r>
        <w:t>图6 局内全貌。保留左侧玩家、中央地图、右侧收藏、底部操作的基本结构。</w:t>
      </w:r>
    </w:p>
    <w:p w14:paraId="10BE65BC" w14:textId="77777777" w:rsidR="000B0670" w:rsidRDefault="00510E46">
      <w:r>
        <w:t>先减轻外框与背景纹样，给地图和可操作内容更多空间。卷轴造型可以保留，但缩小厚边、重复角饰和无用途的空面板。不要为了“统一”重画地图或把角色压成小头像。</w:t>
      </w:r>
    </w:p>
    <w:p w14:paraId="735194E4" w14:textId="77777777" w:rsidR="000B0670" w:rsidRDefault="00510E46">
      <w:r>
        <w:t>左侧依次看清当前玩家、职业、积分点、精力；精力与积分点图标、数字对齐，精力为0也不能直接画成已淘汰。顶部将回合、阶段、剩余时间组织成一组，不用三处同样大的标题争位置。</w:t>
      </w:r>
    </w:p>
    <w:p w14:paraId="1BC9E67E" w14:textId="77777777" w:rsidR="000B0670" w:rsidRDefault="00510E46">
      <w:r>
        <w:t>右侧收藏让牌面与成就有稳定的卡槽，少牌时不散落、多牌时能浏览。</w:t>
      </w:r>
      <w:r>
        <w:rPr>
          <w:b/>
        </w:rPr>
        <w:t>总分只显示“总分数：X”</w:t>
      </w:r>
      <w:r>
        <w:t>，目标分数放进计分详情。底部消息与行动分区，当前可做的行动明显，不可用按钮仍可辨认。</w:t>
      </w:r>
    </w:p>
    <w:p w14:paraId="2B9C2666" w14:textId="77777777" w:rsidR="000B0670" w:rsidRDefault="00510E46">
      <w:r>
        <w:rPr>
          <w:b/>
        </w:rPr>
        <w:t>交付：</w:t>
      </w:r>
      <w:r>
        <w:t>主界面整体稿及左、上、右、下四个局部稿；地图承载框切片，资源槽、阶段标签、倒计时、消息区、行动按钮和卡槽。等待、结算中、淘汰等状态用共用标签，不另画全屏界面。</w:t>
      </w:r>
    </w:p>
    <w:p w14:paraId="2079DA7E" w14:textId="12E6D8C4" w:rsidR="000B0670" w:rsidRDefault="00510E46">
      <w:pPr>
        <w:pStyle w:val="21"/>
      </w:pPr>
      <w:bookmarkStart w:id="17" w:name="_Toc239714721"/>
      <w:r>
        <w:lastRenderedPageBreak/>
        <w:t>地图提示与常用按钮</w:t>
      </w:r>
      <w:bookmarkEnd w:id="17"/>
      <w:r w:rsidR="00E911DA">
        <w:rPr>
          <w:rFonts w:hint="eastAsia"/>
        </w:rPr>
        <w:t>（优先级1/5）</w:t>
      </w:r>
    </w:p>
    <w:p w14:paraId="7DBFD987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48604773" wp14:editId="30A1F1B4">
            <wp:extent cx="5740474" cy="3528000"/>
            <wp:effectExtent l="0" t="0" r="0" b="0"/>
            <wp:docPr id="7" name="Picture 7" descr="图7 地图承载区域局部。路线、可达范围和功能反馈另叠在原地图上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hud.png"/>
                    <pic:cNvPicPr/>
                  </pic:nvPicPr>
                  <pic:blipFill>
                    <a:blip r:embed="rId13"/>
                    <a:srcRect l="20000" t="12000" r="20000" b="29000"/>
                    <a:stretch>
                      <a:fillRect/>
                    </a:stretch>
                  </pic:blipFill>
                  <pic:spPr>
                    <a:xfrm>
                      <a:off x="0" y="0"/>
                      <a:ext cx="5740474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145E" w14:textId="791A4FE3" w:rsidR="000B0670" w:rsidRDefault="00510E46">
      <w:pPr>
        <w:pStyle w:val="af7"/>
        <w:jc w:val="center"/>
      </w:pPr>
      <w:r>
        <w:t>图7 地图承载区域局部。路线、可达范围和功能反馈另叠在原地图上。</w:t>
      </w:r>
    </w:p>
    <w:p w14:paraId="2B5F2B99" w14:textId="77777777" w:rsidR="000B0670" w:rsidRDefault="00510E46">
      <w:r>
        <w:t>可达格使用半透明填色或边线，仍能看清地图；当前格、目标格、路线与鼠标悬浮不能长得一样。路线只按实际经过的格子绘制，起点对应棋子位置。终点确认后保留短促反馈，再收起多余标记。</w:t>
      </w:r>
    </w:p>
    <w:p w14:paraId="7D185110" w14:textId="77777777" w:rsidR="000B0670" w:rsidRDefault="00510E46">
      <w:r>
        <w:t>地块信息按“地区与编号、地形、功能、精力消耗”排出层级，风景与非遗明确区分。信息框不要挡住指向的格子或可选终点；鼠标移动时保持容易阅读的位置。选点用的高亮与棋子自身描边区分。</w:t>
      </w:r>
    </w:p>
    <w:p w14:paraId="28EAD3C4" w14:textId="77777777" w:rsidR="000B0670" w:rsidRDefault="00510E46">
      <w:r>
        <w:t>指南、暂停、关闭三按钮使用统一底板、直径和线宽，放在现有关闭按钮所在的同一界面层。</w:t>
      </w:r>
      <w:r>
        <w:rPr>
          <w:b/>
        </w:rPr>
        <w:t>二级弹窗打开后三个按钮同时被遮罩覆盖</w:t>
      </w:r>
      <w:r>
        <w:t>；鼠标移开后不残留变暗效果。交付图标、共用底板、地图高亮、路线、终点和地块信息框；程序负责位置和遮罩关系。</w:t>
      </w:r>
    </w:p>
    <w:p w14:paraId="53CAD0E8" w14:textId="5EDF6D92" w:rsidR="000B0670" w:rsidRDefault="00510E46">
      <w:pPr>
        <w:pStyle w:val="21"/>
      </w:pPr>
      <w:bookmarkStart w:id="18" w:name="_Toc239714722"/>
      <w:r>
        <w:lastRenderedPageBreak/>
        <w:t>卡牌详情与国家级非遗</w:t>
      </w:r>
      <w:bookmarkEnd w:id="18"/>
      <w:r w:rsidR="00C70E70">
        <w:rPr>
          <w:rFonts w:hint="eastAsia"/>
        </w:rPr>
        <w:t>（</w:t>
      </w:r>
      <w:r w:rsidR="005A273C">
        <w:rPr>
          <w:rFonts w:hint="eastAsia"/>
        </w:rPr>
        <w:t>优先级：</w:t>
      </w:r>
      <w:r w:rsidR="00C70E70">
        <w:rPr>
          <w:rFonts w:hint="eastAsia"/>
        </w:rPr>
        <w:t>4/5）</w:t>
      </w:r>
    </w:p>
    <w:p w14:paraId="26BD31CB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4FC24195" wp14:editId="6A5ADDFF">
            <wp:extent cx="5357513" cy="3528000"/>
            <wp:effectExtent l="0" t="0" r="0" b="0"/>
            <wp:docPr id="8" name="Picture 8" descr="图8 现有卡牌详情布局参考，此图为保留事件牌。非遗详情另按下述字段排布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event_detail.png"/>
                    <pic:cNvPicPr/>
                  </pic:nvPicPr>
                  <pic:blipFill>
                    <a:blip r:embed="rId14"/>
                    <a:srcRect l="15500" t="13600" r="15500" b="13700"/>
                    <a:stretch>
                      <a:fillRect/>
                    </a:stretch>
                  </pic:blipFill>
                  <pic:spPr>
                    <a:xfrm>
                      <a:off x="0" y="0"/>
                      <a:ext cx="5357513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0699" w14:textId="19A712D4" w:rsidR="000B0670" w:rsidRDefault="00510E46">
      <w:pPr>
        <w:pStyle w:val="af7"/>
        <w:jc w:val="center"/>
      </w:pPr>
      <w:r>
        <w:t>图8 现有卡牌详情布局参考，此图为保留事件牌。非遗详情另按下述字段排布。</w:t>
      </w:r>
    </w:p>
    <w:p w14:paraId="0B05EADC" w14:textId="77777777" w:rsidR="000B0670" w:rsidRDefault="00510E46">
      <w:r>
        <w:t>非遗详情以原牌面和介绍为主，清楚展示名称、类别、地区、分数及效果。文字较多时只滚动正文，关闭与任务按钮保持可见；查看大图不要裁断牌面。图鉴点开的非遗，沿用局内获得非遗时的介绍内容与展示方式。</w:t>
      </w:r>
    </w:p>
    <w:p w14:paraId="7D0FB423" w14:textId="77777777" w:rsidR="000B0670" w:rsidRDefault="00510E46">
      <w:r>
        <w:t>国家级非遗增加独立任务区：未传承显示“？”和“传承任务”，可挑战时说明消耗1精力；已尝试、已传承各有清楚状态。成功时“？”变为“5”。这些都在界面上叠加，不修改原牌面文字。</w:t>
      </w:r>
    </w:p>
    <w:p w14:paraId="5E7EA816" w14:textId="77777777" w:rsidR="000B0670" w:rsidRDefault="00510E46">
      <w:r>
        <w:t>职业详情复用图文布局，保留立绘、技能名和技能说明；成就详情保留牌面、条件、归属和获得状态。不要在每类详情上重复增加无用装饰。</w:t>
      </w:r>
    </w:p>
    <w:p w14:paraId="3C033A1F" w14:textId="77777777" w:rsidR="000B0670" w:rsidRDefault="00510E46">
      <w:r>
        <w:rPr>
          <w:b/>
        </w:rPr>
        <w:t>交付：</w:t>
      </w:r>
      <w:r>
        <w:t>竖卡详情排版、长正文版、职业详情变体、成就状态标签、国家级任务区及分数解锁附加层。能共用的标题栏、关闭按钮和正文样式只交一套。</w:t>
      </w:r>
    </w:p>
    <w:p w14:paraId="62D980D7" w14:textId="4CED6530" w:rsidR="000B0670" w:rsidRDefault="00510E46">
      <w:pPr>
        <w:pStyle w:val="21"/>
      </w:pPr>
      <w:bookmarkStart w:id="19" w:name="_Toc239714723"/>
      <w:r>
        <w:lastRenderedPageBreak/>
        <w:t>事件选择与结算</w:t>
      </w:r>
      <w:bookmarkEnd w:id="19"/>
      <w:r w:rsidR="00EF6FF4">
        <w:rPr>
          <w:rFonts w:hint="eastAsia"/>
        </w:rPr>
        <w:t>（优先级：4/5）</w:t>
      </w:r>
    </w:p>
    <w:p w14:paraId="4D30A02E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3B037CEB" wp14:editId="0FDC11D3">
            <wp:extent cx="5199157" cy="3528000"/>
            <wp:effectExtent l="0" t="0" r="0" b="0"/>
            <wp:docPr id="9" name="Picture 9" descr="图9 事件选择现状。牌面、标题、操作和计时需各自清楚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event.png"/>
                    <pic:cNvPicPr/>
                  </pic:nvPicPr>
                  <pic:blipFill>
                    <a:blip r:embed="rId15"/>
                    <a:srcRect l="15000" t="12000" r="150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5199157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EA03" w14:textId="77777777" w:rsidR="000B0670" w:rsidRDefault="00510E46">
      <w:pPr>
        <w:pStyle w:val="af7"/>
        <w:jc w:val="center"/>
      </w:pPr>
      <w:r>
        <w:t>图9 事件选择现状。牌面、标题、操作和计时需各自清楚。（beta 0.5.0取证）</w:t>
      </w:r>
    </w:p>
    <w:p w14:paraId="4287651C" w14:textId="77777777" w:rsidR="000B0670" w:rsidRDefault="00510E46">
      <w:r>
        <w:t>事件用通用模板承接40张牌，不逐张重做。标题如“沉浸体验”应明显大于辅助提示；左侧牌面、右侧说明与选择分开。缩短多余空白，让结算、目标选项和剩余时间不用到处找。</w:t>
      </w:r>
    </w:p>
    <w:p w14:paraId="5F3EABDA" w14:textId="77777777" w:rsidR="000B0670" w:rsidRDefault="00510E46">
      <w:r>
        <w:t>单选用明确的当前项，多选显示勾选与已选数量，响应显示抵消、转移或放弃。超时默认项有标记，但不把计时文字重复摆两遍。地图选点时收起占据地图的选择板，只留事件名和短操作提示，不能用透明遮罩挡住地图。</w:t>
      </w:r>
    </w:p>
    <w:p w14:paraId="0253AB62" w14:textId="77777777" w:rsidR="000B0670" w:rsidRDefault="00510E46">
      <w:r>
        <w:t>复杂结算依次突出受影响玩家、骰子或卡牌及实际结果；多人事件不把所有信息一次堆满。无效果、抵消、转移、持续状态各有短反馈，使用第六节的共用素材。</w:t>
      </w:r>
    </w:p>
    <w:p w14:paraId="5EE27244" w14:textId="77777777" w:rsidR="000B0670" w:rsidRDefault="00510E46">
      <w:r>
        <w:rPr>
          <w:b/>
        </w:rPr>
        <w:t>交付：</w:t>
      </w:r>
      <w:r>
        <w:t>事件公开、单选、多选、响应及地图选点条的排版变体；选中、默认项、计时和结果标签。演出文字和随机结果由程序填入，不在图里写死。</w:t>
      </w:r>
    </w:p>
    <w:p w14:paraId="3046863B" w14:textId="5CFE2C31" w:rsidR="000B0670" w:rsidRDefault="00510E46">
      <w:pPr>
        <w:pStyle w:val="21"/>
      </w:pPr>
      <w:bookmarkStart w:id="20" w:name="_Toc239714724"/>
      <w:r>
        <w:lastRenderedPageBreak/>
        <w:t>商店 背包与研究所</w:t>
      </w:r>
      <w:bookmarkEnd w:id="20"/>
      <w:r w:rsidR="00076A90">
        <w:rPr>
          <w:rFonts w:hint="eastAsia"/>
        </w:rPr>
        <w:t>（优先级：3/5）</w:t>
      </w:r>
    </w:p>
    <w:p w14:paraId="1C9842A7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08A485F3" wp14:editId="2AB37AE5">
            <wp:extent cx="5312752" cy="3528000"/>
            <wp:effectExtent l="0" t="0" r="0" b="0"/>
            <wp:docPr id="10" name="Picture 10" descr="图10 食物商店现状。商品牌面、价格、购买操作和余额应靠近对应内容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shop.png"/>
                    <pic:cNvPicPr/>
                  </pic:nvPicPr>
                  <pic:blipFill>
                    <a:blip r:embed="rId16"/>
                    <a:srcRect l="18000" t="14000" r="18000" b="18000"/>
                    <a:stretch>
                      <a:fillRect/>
                    </a:stretch>
                  </pic:blipFill>
                  <pic:spPr>
                    <a:xfrm>
                      <a:off x="0" y="0"/>
                      <a:ext cx="5312752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C382" w14:textId="77777777" w:rsidR="000B0670" w:rsidRDefault="00510E46">
      <w:pPr>
        <w:pStyle w:val="af7"/>
        <w:jc w:val="center"/>
      </w:pPr>
      <w:r>
        <w:t>图10 食物商店现状。商品牌面、价格、购买操作和余额应靠近对应内容。（beta 0.5.0取证）</w:t>
      </w:r>
    </w:p>
    <w:p w14:paraId="2DF6069A" w14:textId="77777777" w:rsidR="000B0670" w:rsidRDefault="00510E46">
      <w:r>
        <w:t>商店每张牌下依次显示名称、价格和购买按钮，顶部或底部固定显示余额与刷新。不可购买时仍看得清价格与原因，不把整张牌压黑。购买后让卡牌去向和余额变化看得见。</w:t>
      </w:r>
    </w:p>
    <w:p w14:paraId="52681A82" w14:textId="77777777" w:rsidR="000B0670" w:rsidRDefault="00510E46">
      <w:r>
        <w:t>食物背包复用商品陈列，去掉价格与购买区，换成使用及状态信息。1—6张牌均需稳定排列；空背包用简单空状态，不扩大卡槽或增加无关插画。多选、选目标继续使用共用选择标记。</w:t>
      </w:r>
    </w:p>
    <w:p w14:paraId="7ECDE1E3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27E5ED6" wp14:editId="050901B3">
            <wp:extent cx="5557956" cy="3528000"/>
            <wp:effectExtent l="0" t="0" r="0" b="0"/>
            <wp:docPr id="11" name="Picture 11" descr="图11 研究所现状。买入、卖出与各自库存需区分，价格紧靠卡牌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market.png"/>
                    <pic:cNvPicPr/>
                  </pic:nvPicPr>
                  <pic:blipFill>
                    <a:blip r:embed="rId17"/>
                    <a:srcRect l="18000" t="13000" r="18000" b="22000"/>
                    <a:stretch>
                      <a:fillRect/>
                    </a:stretch>
                  </pic:blipFill>
                  <pic:spPr>
                    <a:xfrm>
                      <a:off x="0" y="0"/>
                      <a:ext cx="5557956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BA8D" w14:textId="77777777" w:rsidR="000B0670" w:rsidRDefault="00510E46">
      <w:pPr>
        <w:pStyle w:val="af7"/>
        <w:jc w:val="center"/>
      </w:pPr>
      <w:r>
        <w:t>图11 研究所现状。买入、卖出与各自库存需区分，价格紧靠卡牌。（beta 0.5.0取证）</w:t>
      </w:r>
    </w:p>
    <w:p w14:paraId="62847B14" w14:textId="77777777" w:rsidR="000B0670" w:rsidRDefault="00510E46">
      <w:r>
        <w:t>研究所将买、卖分区或用明确标签切换，显示手牌、库存、余额及当前选中牌。连续交易后仍能辨认选项位置。缺货、不可出售、余额不足就近提示，不能只把按钮消失。</w:t>
      </w:r>
    </w:p>
    <w:p w14:paraId="0F728F87" w14:textId="77777777" w:rsidR="000B0670" w:rsidRDefault="00510E46">
      <w:r>
        <w:rPr>
          <w:b/>
        </w:rPr>
        <w:t>交付：</w:t>
      </w:r>
      <w:r>
        <w:t>通用陈列卡槽、商店与背包排版、研究所买卖页、价格／余额位置、空位和不可用状态。牌面不改，购买、使用、刷新及买卖按钮复用通用样式。</w:t>
      </w:r>
    </w:p>
    <w:p w14:paraId="38F8D8AE" w14:textId="77DAE378" w:rsidR="000B0670" w:rsidRDefault="00510E46">
      <w:pPr>
        <w:pStyle w:val="21"/>
      </w:pPr>
      <w:bookmarkStart w:id="21" w:name="_Toc239714725"/>
      <w:r>
        <w:lastRenderedPageBreak/>
        <w:t>计分 暂停与最终结算</w:t>
      </w:r>
      <w:bookmarkEnd w:id="21"/>
      <w:r w:rsidR="00022E80">
        <w:rPr>
          <w:rFonts w:hint="eastAsia"/>
        </w:rPr>
        <w:t>（优先级：</w:t>
      </w:r>
      <w:r w:rsidR="0055045D">
        <w:rPr>
          <w:rFonts w:hint="eastAsia"/>
        </w:rPr>
        <w:t>1</w:t>
      </w:r>
      <w:r w:rsidR="00022E80">
        <w:rPr>
          <w:rFonts w:hint="eastAsia"/>
        </w:rPr>
        <w:t>/5）</w:t>
      </w:r>
    </w:p>
    <w:p w14:paraId="3D9D4C40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4592EE38" wp14:editId="30C9AB0B">
            <wp:extent cx="5050610" cy="3527999"/>
            <wp:effectExtent l="0" t="0" r="0" b="0"/>
            <wp:docPr id="12" name="Picture 12" descr="图12 计分详情现状。条目和分项比装饰更重要，长列表需易于查阅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score.png"/>
                    <pic:cNvPicPr/>
                  </pic:nvPicPr>
                  <pic:blipFill>
                    <a:blip r:embed="rId18"/>
                    <a:srcRect l="24500" t="21500" r="24500" b="21500"/>
                    <a:stretch>
                      <a:fillRect/>
                    </a:stretch>
                  </pic:blipFill>
                  <pic:spPr>
                    <a:xfrm>
                      <a:off x="0" y="0"/>
                      <a:ext cx="5050610" cy="35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0033" w14:textId="77777777" w:rsidR="000B0670" w:rsidRDefault="00510E46">
      <w:pPr>
        <w:pStyle w:val="af7"/>
        <w:jc w:val="center"/>
      </w:pPr>
      <w:r>
        <w:t>图12 计分详情现状。条目和分项比装饰更重要，长列表需易于查阅。（beta 0.5.0取证）</w:t>
      </w:r>
    </w:p>
    <w:p w14:paraId="7AAB9345" w14:textId="77777777" w:rsidR="000B0670" w:rsidRDefault="00510E46">
      <w:r>
        <w:t>计分详情将基础分、组合分和成就分分组，分项与小计对齐，末尾给出总分；目标分数放在这里。分数由程序计算，不能画进背景。条目多时滚动内容，不遮住返回按钮。</w:t>
      </w:r>
    </w:p>
    <w:p w14:paraId="233DA9BE" w14:textId="77777777" w:rsidR="000B0670" w:rsidRDefault="00510E46">
      <w:r>
        <w:t>暂停使用紧凑弹窗，继续最突出，离开对局为次级或危险操作。只设计现有功能，不凭空增加完整设置页。暂停、说明、卡牌详情叠加时，玩家应能看懂现在关闭的是哪一层。</w:t>
      </w:r>
    </w:p>
    <w:p w14:paraId="0FA59240" w14:textId="23C0CA9B" w:rsidR="000B0670" w:rsidRDefault="00510E46">
      <w:r>
        <w:t>最终结算展示玩家、名次、总分与分项，可兼容并列。冠军强调一次即可，其他玩家仍有完整信息。交付计分行、小计／总计样式、暂停排版、排名卡、冠军与淘汰标记，结果动画复用第六节规范。</w:t>
      </w:r>
    </w:p>
    <w:p w14:paraId="5DE86BE1" w14:textId="0B2F86FB" w:rsidR="000B0670" w:rsidRDefault="00510E46">
      <w:pPr>
        <w:pStyle w:val="1"/>
      </w:pPr>
      <w:bookmarkStart w:id="22" w:name="_Toc239714726"/>
      <w:r>
        <w:lastRenderedPageBreak/>
        <w:t>五 教程与规则手册</w:t>
      </w:r>
      <w:bookmarkEnd w:id="22"/>
      <w:r w:rsidR="00C021F2">
        <w:rPr>
          <w:rFonts w:hint="eastAsia"/>
        </w:rPr>
        <w:t>（优先级：4/5）</w:t>
      </w:r>
    </w:p>
    <w:p w14:paraId="387F6D48" w14:textId="77777777" w:rsidR="000B0670" w:rsidRDefault="00510E46">
      <w:pPr>
        <w:pStyle w:val="21"/>
      </w:pPr>
      <w:bookmarkStart w:id="23" w:name="_Toc239714727"/>
      <w:r>
        <w:t>导航与正文</w:t>
      </w:r>
      <w:bookmarkEnd w:id="23"/>
    </w:p>
    <w:p w14:paraId="0B903522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43B39086" wp14:editId="5ABC421D">
            <wp:extent cx="6120000" cy="3442500"/>
            <wp:effectExtent l="0" t="0" r="0" b="0"/>
            <wp:docPr id="13" name="Picture 13" descr="图13 规则正文现状。导航占据较多空间，内容区需要更安静的阅读样式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de_ru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01E4" w14:textId="77777777" w:rsidR="000B0670" w:rsidRDefault="00510E46">
      <w:pPr>
        <w:pStyle w:val="af7"/>
        <w:jc w:val="center"/>
      </w:pPr>
      <w:r>
        <w:t>图13 规则正文现状。导航占据较多空间，内容区需要更安静的阅读样式。（beta 0.5.0取证）</w:t>
      </w:r>
    </w:p>
    <w:p w14:paraId="297C4592" w14:textId="77777777" w:rsidR="000B0670" w:rsidRDefault="00510E46">
      <w:r>
        <w:t>指南沿用首页、快速上手、规则介绍、探索图鉴、小游戏图鉴的结构。</w:t>
      </w:r>
      <w:r>
        <w:rPr>
          <w:b/>
        </w:rPr>
        <w:t>目录按钮只放标题</w:t>
      </w:r>
      <w:r>
        <w:t>，不混入整段摘要。当前章节、返回和关闭容易辨认；减少密集橙色按钮，留更多面积给正文与图片。</w:t>
      </w:r>
    </w:p>
    <w:p w14:paraId="1F85BF4B" w14:textId="77777777" w:rsidR="000B0670" w:rsidRDefault="00510E46">
      <w:r>
        <w:t>正文使用清晰的常规字体，标题、正文、图注有固定层级；重点少量加粗。例子、注意事项、裁定可用小标题或图标区分，不为每段加厚边框。长文不横向滚动，窄屏改为可收起目录，底部翻页操作始终可见。</w:t>
      </w:r>
    </w:p>
    <w:p w14:paraId="69085E22" w14:textId="77777777" w:rsidR="000B0670" w:rsidRDefault="00510E46">
      <w:r>
        <w:rPr>
          <w:b/>
        </w:rPr>
        <w:t>交付：</w:t>
      </w:r>
      <w:r>
        <w:t>指南首页与章节目录稿、正文样式、例子／注意／裁定三个内容样式、前后页和进度组件。正文及规则来自现有内容，美术不重写规则，也不把文章做成一整张图片。</w:t>
      </w:r>
    </w:p>
    <w:p w14:paraId="01103FE8" w14:textId="3808743F" w:rsidR="000B0670" w:rsidRDefault="00510E46">
      <w:pPr>
        <w:pStyle w:val="21"/>
      </w:pPr>
      <w:bookmarkStart w:id="24" w:name="_Toc239714728"/>
      <w:r>
        <w:lastRenderedPageBreak/>
        <w:t>快速上手与说明配图</w:t>
      </w:r>
      <w:bookmarkEnd w:id="24"/>
      <w:r w:rsidR="000D305F">
        <w:rPr>
          <w:rFonts w:hint="eastAsia"/>
        </w:rPr>
        <w:t>（优先级：</w:t>
      </w:r>
      <w:r w:rsidR="00507488">
        <w:rPr>
          <w:rFonts w:hint="eastAsia"/>
        </w:rPr>
        <w:t>3</w:t>
      </w:r>
      <w:r w:rsidR="000D305F">
        <w:rPr>
          <w:rFonts w:hint="eastAsia"/>
        </w:rPr>
        <w:t>/5）</w:t>
      </w:r>
    </w:p>
    <w:p w14:paraId="67705CEE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03413FC9" wp14:editId="7938AF0C">
            <wp:extent cx="6120000" cy="3442500"/>
            <wp:effectExtent l="0" t="0" r="0" b="0"/>
            <wp:docPr id="14" name="Picture 14" descr="图14 快速上手现状。每屏应围绕当前问题安排大图和短说明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de_qui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F266" w14:textId="77777777" w:rsidR="000B0670" w:rsidRDefault="00510E46">
      <w:pPr>
        <w:pStyle w:val="af7"/>
        <w:jc w:val="center"/>
      </w:pPr>
      <w:r>
        <w:t>图14 快速上手现状。每屏应围绕当前问题安排大图和短说明。（beta 0.5.0取证）</w:t>
      </w:r>
    </w:p>
    <w:p w14:paraId="7EC5137C" w14:textId="77777777" w:rsidR="000B0670" w:rsidRDefault="00510E46">
      <w:r>
        <w:t>六步导览保留上一页、下一页、目录及详细说明。核心结论醒目，配图紧贴所讲内容；一屏不能只有小图悬在大片空地上。地图、手牌、资源和操作要用实机或正式资产示意，不拿无关静态背景充数。</w:t>
      </w:r>
    </w:p>
    <w:p w14:paraId="6989737B" w14:textId="77777777" w:rsidR="000B0670" w:rsidRDefault="00510E46">
      <w:r>
        <w:t>交付横图、竖卡、双图和带短图注的媒体框；回合流程、移动、抽卡、响应链、计分五类示意模板。流程节点、箭头与数字分层，之后改文字或步骤不用重画整张。截图只保留有关区域，例如说明精力时不截入半截职业名或人物脚。</w:t>
      </w:r>
    </w:p>
    <w:p w14:paraId="59202434" w14:textId="77777777" w:rsidR="000B0670" w:rsidRDefault="00510E46">
      <w:r>
        <w:t>未来教学可复用聚焦遮罩、指示箭头、步骤进度和短说明条，本次只做共用组件，不扩展完整教学关卡。截图中的地块类型、棋子起点和路线必须经策划核对，不能靠画面猜规则。</w:t>
      </w:r>
    </w:p>
    <w:p w14:paraId="4119B5A8" w14:textId="097A3456" w:rsidR="000B0670" w:rsidRDefault="00510E46">
      <w:pPr>
        <w:pStyle w:val="21"/>
      </w:pPr>
      <w:bookmarkStart w:id="25" w:name="_Toc239714729"/>
      <w:r>
        <w:lastRenderedPageBreak/>
        <w:t>图鉴与放大查看</w:t>
      </w:r>
      <w:bookmarkEnd w:id="25"/>
      <w:r w:rsidR="00B82613">
        <w:rPr>
          <w:rFonts w:hint="eastAsia"/>
        </w:rPr>
        <w:t>（优先级：</w:t>
      </w:r>
      <w:r w:rsidR="00507488">
        <w:rPr>
          <w:rFonts w:hint="eastAsia"/>
        </w:rPr>
        <w:t>3</w:t>
      </w:r>
      <w:r w:rsidR="00B82613">
        <w:rPr>
          <w:rFonts w:hint="eastAsia"/>
        </w:rPr>
        <w:t>/5）</w:t>
      </w:r>
    </w:p>
    <w:p w14:paraId="125AD4E9" w14:textId="77777777" w:rsidR="000B0670" w:rsidRDefault="00510E46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0EA065F0" wp14:editId="3A735512">
            <wp:extent cx="6120000" cy="3442500"/>
            <wp:effectExtent l="0" t="0" r="0" b="0"/>
            <wp:docPr id="15" name="Picture 15" descr="图15 图鉴现状。卡位、筛选和翻页应有统一排布。；取证beta 0.5.0，4122e72，2026-09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de_compendiu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B12E" w14:textId="77777777" w:rsidR="000B0670" w:rsidRDefault="00510E46">
      <w:pPr>
        <w:pStyle w:val="af7"/>
        <w:jc w:val="center"/>
      </w:pPr>
      <w:r>
        <w:t>图15 图鉴现状。卡位、筛选和翻页应有统一排布。（beta 0.5.0取证）</w:t>
      </w:r>
    </w:p>
    <w:p w14:paraId="32E816F1" w14:textId="77777777" w:rsidR="000B0670" w:rsidRDefault="00510E46">
      <w:r>
        <w:t>非遗按地区和类别多选筛选，风景按地区多选，食物按级别筛选；提供清空和无结果状态。标签显示已选状态，数量多时换行或收起，不能把卡图区挤没。条目按类型分页，卡牌保持足够大。</w:t>
      </w:r>
    </w:p>
    <w:p w14:paraId="0CC4DE3E" w14:textId="77777777" w:rsidR="000B0670" w:rsidRDefault="00510E46">
      <w:r>
        <w:t>未发现的食物、事件、成就及小游戏使用统一背面与“未发现”，不从标题、图标或悬浮文字泄露内容。非遗、职业、风景按既有公开规则展示。开发者视角只需小型状态标记，不再画一套图鉴。</w:t>
      </w:r>
    </w:p>
    <w:p w14:paraId="778E96F5" w14:textId="77777777" w:rsidR="000B0670" w:rsidRDefault="00510E46">
      <w:r>
        <w:t>小图可点击放大，但不额外显示“点击放大”的鼠标悬浮提示。放大后完整展示，关闭后回到原位置。小游戏图鉴只在主菜单来源显示入口，局内指南不提供启动小游戏的按钮。</w:t>
      </w:r>
    </w:p>
    <w:p w14:paraId="34423C2D" w14:textId="77777777" w:rsidR="000B0670" w:rsidRDefault="00510E46">
      <w:r>
        <w:t>交付：图鉴网格、筛选标签与勾选、翻页、已发现／未发现卡位、空结果、图片放大层。小游戏图鉴可复用外层组件；十五张小游戏封面及角色选择、挑战弹窗由GPT‑6提供。</w:t>
      </w:r>
    </w:p>
    <w:p w14:paraId="6C0B57E5" w14:textId="77777777" w:rsidR="000B0670" w:rsidRDefault="00510E46">
      <w:pPr>
        <w:pStyle w:val="1"/>
      </w:pPr>
      <w:bookmarkStart w:id="26" w:name="_Toc239714730"/>
      <w:r>
        <w:t>六 动画与特效</w:t>
      </w:r>
      <w:bookmarkEnd w:id="26"/>
    </w:p>
    <w:p w14:paraId="0A37EC53" w14:textId="1B0336D1" w:rsidR="000B0670" w:rsidRDefault="00510E46">
      <w:pPr>
        <w:pStyle w:val="21"/>
      </w:pPr>
      <w:bookmarkStart w:id="27" w:name="_Toc239714731"/>
      <w:r>
        <w:t>投骰子</w:t>
      </w:r>
      <w:bookmarkEnd w:id="27"/>
      <w:r w:rsidR="00615178">
        <w:rPr>
          <w:rFonts w:hint="eastAsia"/>
        </w:rPr>
        <w:t>（优先级：5/5）</w:t>
      </w:r>
    </w:p>
    <w:p w14:paraId="1E71D0A5" w14:textId="77777777" w:rsidR="000B0670" w:rsidRDefault="00510E46">
      <w:r>
        <w:rPr>
          <w:b/>
        </w:rPr>
        <w:t>支持一枚和两枚六面骰</w:t>
      </w:r>
      <w:r>
        <w:t>，用2D或2.5D完成。出现迅速、翻滚短、落地稳，结果停留到能看清；两枚可稍有错拍，但不能互相挡住点数。骰子放在地图展示区域，不能压住正在操作的按钮。</w:t>
      </w:r>
    </w:p>
    <w:p w14:paraId="0F5E0F07" w14:textId="77777777" w:rsidR="000B0670" w:rsidRDefault="00510E46">
      <w:r>
        <w:t>交付六个最终骰面、3—4个翻滚过渡形态、独立阴影和落地环，以及4—6帧故事板或视频参考。母版1024×1024，运行时512×512透明图。少量纸屑或金点是可选附加，不是必须多做一包装饰。</w:t>
      </w:r>
    </w:p>
    <w:p w14:paraId="26734527" w14:textId="77777777" w:rsidR="000B0670" w:rsidRDefault="00510E46">
      <w:r>
        <w:rPr>
          <w:b/>
        </w:rPr>
        <w:lastRenderedPageBreak/>
        <w:t>最终点数由程序选择骰面</w:t>
      </w:r>
      <w:r>
        <w:t>，不烘焙成固定结果动画。故事板说明起手、翻滚、落地、揭示和停留时长；减少动态时直接显示落定的骰子和点数。不做长时间乱飞或老虎机式等待。</w:t>
      </w:r>
    </w:p>
    <w:p w14:paraId="2F30B931" w14:textId="5CAD6D0E" w:rsidR="000B0670" w:rsidRDefault="00510E46">
      <w:pPr>
        <w:pStyle w:val="21"/>
      </w:pPr>
      <w:bookmarkStart w:id="28" w:name="_Toc239714732"/>
      <w:r>
        <w:t>卡牌 移动与资源反馈</w:t>
      </w:r>
      <w:bookmarkEnd w:id="28"/>
      <w:r w:rsidR="004C065F">
        <w:rPr>
          <w:rFonts w:hint="eastAsia"/>
        </w:rPr>
        <w:t>（优先级：3/5）</w:t>
      </w:r>
    </w:p>
    <w:p w14:paraId="7B3D6656" w14:textId="77777777" w:rsidR="000B0670" w:rsidRDefault="00510E46">
      <w:r>
        <w:t>以下按通用动作制作，不给每张牌、每个格子增加独立特效。已有可用动画继续使用，缺少的反馈补齐即可。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231"/>
        <w:gridCol w:w="4422"/>
      </w:tblGrid>
      <w:tr w:rsidR="000B0670" w14:paraId="3A4D6CD7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left w:w="95" w:type="dxa"/>
              <w:right w:w="95" w:type="dxa"/>
            </w:tcMar>
            <w:vAlign w:val="center"/>
          </w:tcPr>
          <w:p w14:paraId="7D8BF3C4" w14:textId="77777777" w:rsidR="000B0670" w:rsidRDefault="00510E46">
            <w:pPr>
              <w:spacing w:before="60" w:after="60" w:line="276" w:lineRule="auto"/>
            </w:pPr>
            <w:r>
              <w:rPr>
                <w:b/>
                <w:sz w:val="21"/>
              </w:rPr>
              <w:t>动作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left w:w="95" w:type="dxa"/>
              <w:right w:w="95" w:type="dxa"/>
            </w:tcMar>
            <w:vAlign w:val="center"/>
          </w:tcPr>
          <w:p w14:paraId="7D139039" w14:textId="77777777" w:rsidR="000B0670" w:rsidRDefault="00510E46">
            <w:pPr>
              <w:spacing w:before="60" w:after="60" w:line="276" w:lineRule="auto"/>
            </w:pPr>
            <w:r>
              <w:rPr>
                <w:b/>
                <w:sz w:val="21"/>
              </w:rPr>
              <w:t>要看清什么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left w:w="95" w:type="dxa"/>
              <w:right w:w="95" w:type="dxa"/>
            </w:tcMar>
            <w:vAlign w:val="center"/>
          </w:tcPr>
          <w:p w14:paraId="7290DBCE" w14:textId="77777777" w:rsidR="000B0670" w:rsidRDefault="00510E46">
            <w:pPr>
              <w:spacing w:before="60" w:after="60" w:line="276" w:lineRule="auto"/>
            </w:pPr>
            <w:r>
              <w:rPr>
                <w:b/>
                <w:sz w:val="21"/>
              </w:rPr>
              <w:t>需要交付</w:t>
            </w:r>
          </w:p>
        </w:tc>
      </w:tr>
      <w:tr w:rsidR="000B0670" w14:paraId="3050052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47554973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抽牌与翻面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2DEF9659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从哪里来、抽到哪张、何时看清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B679871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通用阴影、翻面边缘、展示停留故事板。正反面使用原牌。</w:t>
            </w:r>
          </w:p>
        </w:tc>
      </w:tr>
      <w:tr w:rsidR="000B0670" w14:paraId="2A50B8E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08E2D522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收入与转移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011727A9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来源和目标可追踪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70593B9C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落点标记、短轨迹；隐藏牌只用牌背。</w:t>
            </w:r>
          </w:p>
        </w:tc>
      </w:tr>
      <w:tr w:rsidR="000B0670" w14:paraId="24F71D98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75D12949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使用与弃置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7429D365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效果结束后牌离场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039FCFE4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淡出或溶解遮罩；两种离场状态可辨认。</w:t>
            </w:r>
          </w:p>
        </w:tc>
      </w:tr>
      <w:tr w:rsidR="000B0670" w14:paraId="15C9C9E5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373719CD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棋子移动与落格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7E58F2F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下一步与终点清楚，不拖慢移动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1CB2E361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阴影、轻落地环、终点标记；脚步粒子可选。</w:t>
            </w:r>
          </w:p>
        </w:tc>
      </w:tr>
      <w:tr w:rsidR="000B0670" w14:paraId="35AA8D3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79531EDE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地块触发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04D43233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触发了哪类功能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B967244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一套六角环，配非遗、事件、打工、商店、风景、研究所图标变体。</w:t>
            </w:r>
          </w:p>
        </w:tc>
      </w:tr>
      <w:tr w:rsidR="000B0670" w14:paraId="68FBE95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AF77F9E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积分点 精力 分数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33E7C30A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谁增加或减少了多少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D322D2C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三类图标、增减符号及跳字位置示例；数字由程序填。</w:t>
            </w:r>
          </w:p>
        </w:tc>
      </w:tr>
      <w:tr w:rsidR="000B0670" w14:paraId="3A16313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2332BDB1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抵消 转移 持续 无效果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CA3ED0A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效果最终去了哪里、是否改变状态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7C98C3F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四类简洁符号与出现／消失状态。实际无变化时允许显示+0。</w:t>
            </w:r>
          </w:p>
        </w:tc>
      </w:tr>
    </w:tbl>
    <w:p w14:paraId="006AED24" w14:textId="77777777" w:rsidR="000B0670" w:rsidRDefault="000B0670">
      <w:pPr>
        <w:spacing w:after="0"/>
      </w:pPr>
    </w:p>
    <w:p w14:paraId="21182F9C" w14:textId="77777777" w:rsidR="000B0670" w:rsidRDefault="00510E46">
      <w:r>
        <w:t>购买、食物享用和研究所交易复用卡牌去向与资源变化。例如购买先确认商品，余额减少，牌进入背包；不另做金币雨。多人结算可错峰出现，不能互相盖住数字。</w:t>
      </w:r>
    </w:p>
    <w:p w14:paraId="37E7299F" w14:textId="7E2C0313" w:rsidR="000B0670" w:rsidRDefault="00510E46">
      <w:pPr>
        <w:pStyle w:val="21"/>
      </w:pPr>
      <w:bookmarkStart w:id="29" w:name="_Toc239714733"/>
      <w:r>
        <w:t>结果与节奏</w:t>
      </w:r>
      <w:bookmarkEnd w:id="29"/>
      <w:r w:rsidR="002237AB">
        <w:rPr>
          <w:rFonts w:hint="eastAsia"/>
        </w:rPr>
        <w:t>（优先级：2/5）</w:t>
      </w:r>
    </w:p>
    <w:p w14:paraId="3A3495B6" w14:textId="77777777" w:rsidR="000B0670" w:rsidRDefault="00510E46">
      <w:r>
        <w:t>国家级传承突出“？→5”，成就展示获得者，淘汰显示状态，终局突出冠军与名次。这几处可以有短仪式感；普通加1精力和每次点击不要用同等亮度。交付共用印章或边缘强调、结果标记及故事板，原牌面保持不变。</w:t>
      </w:r>
    </w:p>
    <w:p w14:paraId="0E603A4A" w14:textId="77777777" w:rsidR="000B0670" w:rsidRDefault="00510E46">
      <w:r>
        <w:t>建议节奏：按钮反馈约60—160毫秒；普通卡牌、资源和格子反馈约250—650毫秒；重要结果约1—2秒。具体以实机是否看得清、是否拖沓为准，不要求严格卡毫秒。</w:t>
      </w:r>
    </w:p>
    <w:p w14:paraId="1CA8F430" w14:textId="77777777" w:rsidR="000B0670" w:rsidRDefault="00510E46">
      <w:r>
        <w:t>位移、旋转、缩放由程序做时，只交独立图层和时序参考；确需形变的部分再做逐帧。每段都给出清楚终态，减少动态或快进时能直接停到终态。快进只结束当前演出，不改变规则结果。</w:t>
      </w:r>
    </w:p>
    <w:p w14:paraId="18AC9DF9" w14:textId="2C815BBB" w:rsidR="000B0670" w:rsidRDefault="00510E46">
      <w:pPr>
        <w:pStyle w:val="1"/>
      </w:pPr>
      <w:r>
        <w:t>七 传承任务由开发侧制作</w:t>
      </w:r>
    </w:p>
    <w:p w14:paraId="31350657" w14:textId="4B6F4859" w:rsidR="000B0670" w:rsidRDefault="00510E46">
      <w:pPr>
        <w:pStyle w:val="21"/>
      </w:pPr>
      <w:r>
        <w:t>责任与风格边界</w:t>
      </w:r>
    </w:p>
    <w:p w14:paraId="5A4109E0" w14:textId="77777777" w:rsidR="000B0670" w:rsidRDefault="00510E46">
      <w:r>
        <w:t>十五项小游戏采用卡通、二次元像素画，人物严格保留六位原博主的身份，外层使用木壳暖色老电视。人物、器物、动作与背景由开发侧直接生成并整理；保留原稿清晰度，按实际镜头确定尺寸，不强制缩成低分辨率或少量颜色。中文、按钮和结果信息独立清晰绘制；桌游主体继续沿用本需求书的整体方向。</w:t>
      </w:r>
    </w:p>
    <w:p w14:paraId="0C24C127" w14:textId="77777777" w:rsidR="000B0670" w:rsidRDefault="00510E46">
      <w:r>
        <w:t>GPT‑6负责电视框体、准备、教学、挑战、暂停、结果和技术错误页面，以及六位博主身份设定、逐关换装、人物动作、场景、器物、局部提示、封面与资产台账。原有博主图片保留，新像素角色作为独立衍生资源；正式挑战跟随本局职业，练习可选角色。</w:t>
      </w:r>
    </w:p>
    <w:p w14:paraId="7912A26C" w14:textId="77777777" w:rsidR="000B0670" w:rsidRDefault="00510E46">
      <w:r>
        <w:t>美术老师仅需确保桌游外层的非遗详情、小游戏图鉴入口和传承成功后的“？→5”反馈能够连接现有流程，不需重画电视框体、小游戏背景或十五套人物动作。当前小游戏制作与验证状态见《传承小游戏第三版生成资产与全面实施（2026-09-14）》及工程资产台账。</w:t>
      </w:r>
    </w:p>
    <w:p w14:paraId="5AEDFE59" w14:textId="77777777" w:rsidR="000B0670" w:rsidRDefault="00510E46">
      <w:r>
        <w:t>用户提供已授权完整视频即可。开发侧负责选段、抽帧、提取音频和来源记录；鼓盆歌鼓板演唱、西塞神舟全貌与送舟、鄂州雕花剪纸刻制近景仍需补充资料。待核对的器物形制与游戏化动作在台账中明确标注。</w:t>
      </w:r>
    </w:p>
    <w:p w14:paraId="1F05C7A2" w14:textId="77777777" w:rsidR="000B0670" w:rsidRDefault="000B0670">
      <w:pPr>
        <w:spacing w:after="0"/>
      </w:pPr>
    </w:p>
    <w:p w14:paraId="2C0DADA2" w14:textId="77777777" w:rsidR="00EA2464" w:rsidRDefault="00EA2464">
      <w:pPr>
        <w:pStyle w:val="1"/>
      </w:pPr>
      <w:bookmarkStart w:id="33" w:name="_Toc239714738"/>
    </w:p>
    <w:p w14:paraId="30D8DFA0" w14:textId="29D35918" w:rsidR="000B0670" w:rsidRDefault="00510E46">
      <w:pPr>
        <w:pStyle w:val="1"/>
      </w:pPr>
      <w:r>
        <w:t>八 交付要求</w:t>
      </w:r>
      <w:bookmarkEnd w:id="33"/>
    </w:p>
    <w:p w14:paraId="0B07C9B5" w14:textId="77777777" w:rsidR="000B0670" w:rsidRDefault="00510E46">
      <w:pPr>
        <w:pStyle w:val="21"/>
      </w:pPr>
      <w:bookmarkStart w:id="34" w:name="_Toc239714739"/>
      <w:r>
        <w:t>文件与尺寸</w:t>
      </w:r>
      <w:bookmarkEnd w:id="34"/>
    </w:p>
    <w:p w14:paraId="44D1CA4B" w14:textId="77777777" w:rsidR="000B0670" w:rsidRDefault="00510E46">
      <w:r>
        <w:rPr>
          <w:b/>
        </w:rPr>
        <w:t>每项交可编辑母版、可直接导入的文件</w:t>
      </w:r>
      <w:r>
        <w:t>，以及一张合成预览或短视频。位图用分层PSD／PSB或原生文件并附通用交换版本；矢量用SVG。不要只交扁平图、AE工程、Spine工程或GIF。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4876"/>
      </w:tblGrid>
      <w:tr w:rsidR="000B0670" w14:paraId="19A9193C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left w:w="95" w:type="dxa"/>
              <w:right w:w="95" w:type="dxa"/>
            </w:tcMar>
            <w:vAlign w:val="center"/>
          </w:tcPr>
          <w:p w14:paraId="3F4A7929" w14:textId="77777777" w:rsidR="000B0670" w:rsidRDefault="00510E46">
            <w:pPr>
              <w:spacing w:before="60" w:after="60" w:line="276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left w:w="95" w:type="dxa"/>
              <w:right w:w="95" w:type="dxa"/>
            </w:tcMar>
            <w:vAlign w:val="center"/>
          </w:tcPr>
          <w:p w14:paraId="2716F289" w14:textId="77777777" w:rsidR="000B0670" w:rsidRDefault="00510E46">
            <w:pPr>
              <w:spacing w:before="60" w:after="60" w:line="276" w:lineRule="auto"/>
            </w:pPr>
            <w:r>
              <w:rPr>
                <w:b/>
                <w:sz w:val="21"/>
              </w:rPr>
              <w:t>母版或基准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left w:w="95" w:type="dxa"/>
              <w:right w:w="95" w:type="dxa"/>
            </w:tcMar>
            <w:vAlign w:val="center"/>
          </w:tcPr>
          <w:p w14:paraId="3663470A" w14:textId="77777777" w:rsidR="000B0670" w:rsidRDefault="00510E46">
            <w:pPr>
              <w:spacing w:before="60" w:after="60" w:line="276" w:lineRule="auto"/>
            </w:pPr>
            <w:r>
              <w:rPr>
                <w:b/>
                <w:sz w:val="21"/>
              </w:rPr>
              <w:t>运行文件及附带说明</w:t>
            </w:r>
          </w:p>
        </w:tc>
      </w:tr>
      <w:tr w:rsidR="000B0670" w14:paraId="6279932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0739DB08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背景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1947947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4096×2560分层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47FD7B8C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各层PNG；标注16:10、16:9、4:3、超宽安全区和层级。</w:t>
            </w:r>
          </w:p>
        </w:tc>
      </w:tr>
      <w:tr w:rsidR="000B0670" w14:paraId="56D606B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D0E610E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UI与图标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BAE50E4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按实际使用尺寸留足分辨率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49622FF1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8-bit RGBA PNG或SVG；可拉伸部分注明左上右下切片值。</w:t>
            </w:r>
          </w:p>
        </w:tc>
      </w:tr>
      <w:tr w:rsidR="000B0670" w14:paraId="3CF7CD4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6BCC9656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骰子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22B044C0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1024×1024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F4A359E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512×512透明图；点数面与翻滚形态独立，附故事板。</w:t>
            </w:r>
          </w:p>
        </w:tc>
      </w:tr>
      <w:tr w:rsidR="000B0670" w14:paraId="37584F3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4F06A435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缩略图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4CD6708D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640×400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9A8AF42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PNG或确认后的WebP；不含任务名与按钮。</w:t>
            </w:r>
          </w:p>
        </w:tc>
      </w:tr>
      <w:tr w:rsidR="000B0670" w14:paraId="6760B59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1E4D650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逐帧动画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2FE9E44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统一画布的分层母版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0D0A836D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透明PNG序列或序列帧图集；帧率、时长、循环和锚点说明。</w:t>
            </w:r>
          </w:p>
        </w:tc>
      </w:tr>
      <w:tr w:rsidR="000B0670" w14:paraId="28D0161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0422C576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程序动画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44FDF96A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独立可动图层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left w:w="95" w:type="dxa"/>
              <w:right w:w="95" w:type="dxa"/>
            </w:tcMar>
            <w:vAlign w:val="center"/>
          </w:tcPr>
          <w:p w14:paraId="5E561E2A" w14:textId="77777777" w:rsidR="000B0670" w:rsidRDefault="00510E46">
            <w:pPr>
              <w:spacing w:before="60" w:after="60" w:line="276" w:lineRule="auto"/>
            </w:pPr>
            <w:r>
              <w:rPr>
                <w:sz w:val="21"/>
              </w:rPr>
              <w:t>图层导出、合成顺序、时长参考和减少动态终态。</w:t>
            </w:r>
          </w:p>
        </w:tc>
      </w:tr>
    </w:tbl>
    <w:p w14:paraId="51ED1CBE" w14:textId="77777777" w:rsidR="000B0670" w:rsidRDefault="000B0670">
      <w:pPr>
        <w:spacing w:after="0"/>
      </w:pPr>
    </w:p>
    <w:p w14:paraId="1074866F" w14:textId="77777777" w:rsidR="000B0670" w:rsidRDefault="00510E46">
      <w:r>
        <w:t>统一sRGB，透明边缘不留黑边或白边，画布不带大片无用透明区。同一动画各帧画布与锚点一致，不能逐帧跳位置。边角和花纹放在九宫格不拉伸的区域，附一次拉宽、拉高示例。</w:t>
      </w:r>
    </w:p>
    <w:p w14:paraId="615608E5" w14:textId="77777777" w:rsidR="000B0670" w:rsidRDefault="00510E46">
      <w:r>
        <w:t>名字、价格、规则正文、倒计时、点数、判定结果等变化内容交给程序显示。游戏字体另附名称、用途、授权与替代方案；不要把字体轮廓化后烘在按钮里。</w:t>
      </w:r>
    </w:p>
    <w:p w14:paraId="3CA0185A" w14:textId="77777777" w:rsidR="000B0670" w:rsidRDefault="00510E46">
      <w:pPr>
        <w:pStyle w:val="21"/>
      </w:pPr>
      <w:bookmarkStart w:id="35" w:name="_Toc239714740"/>
      <w:r>
        <w:t>命名与接入</w:t>
      </w:r>
      <w:bookmarkEnd w:id="35"/>
    </w:p>
    <w:p w14:paraId="64D30265" w14:textId="77777777" w:rsidR="000B0670" w:rsidRDefault="00510E46">
      <w:r>
        <w:t>文件按品牌、UI、HUD、指南、特效、任务分文件夹。文件名用“系统_页面_组件_状态_v001”，如“ui_hud_pause_normal_v001.png”。改稿增加版本号，不覆盖原稿；同一组件的母版与导出使用对应名称。</w:t>
      </w:r>
    </w:p>
    <w:p w14:paraId="0CD4AF00" w14:textId="4167B7DB" w:rsidR="000B0670" w:rsidRDefault="00510E46">
      <w:pPr>
        <w:rPr>
          <w:rFonts w:hint="eastAsia"/>
        </w:rPr>
      </w:pPr>
      <w:r>
        <w:lastRenderedPageBreak/>
        <w:t>每批附一份简短说明：文件用途、哪些层会动、切片或锚点、字体与外部素材来源、授权及待确认问题。图层名称写清背景、边框、图标、阴影等实际用途即可，不强制复杂编号。</w:t>
      </w:r>
    </w:p>
    <w:sectPr w:rsidR="000B0670" w:rsidSect="00034616">
      <w:footerReference w:type="default" r:id="rId22"/>
      <w:pgSz w:w="11906" w:h="16838"/>
      <w:pgMar w:top="1134" w:right="1134" w:bottom="1134" w:left="1134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88E54" w14:textId="77777777" w:rsidR="003B232C" w:rsidRDefault="003B232C">
      <w:pPr>
        <w:spacing w:after="0" w:line="240" w:lineRule="auto"/>
      </w:pPr>
      <w:r>
        <w:separator/>
      </w:r>
    </w:p>
  </w:endnote>
  <w:endnote w:type="continuationSeparator" w:id="0">
    <w:p w14:paraId="426DEB53" w14:textId="77777777" w:rsidR="003B232C" w:rsidRDefault="003B2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A4358" w14:textId="77777777" w:rsidR="000B0670" w:rsidRDefault="00510E4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637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0E5B" w14:textId="77777777" w:rsidR="003B232C" w:rsidRDefault="003B232C">
      <w:pPr>
        <w:spacing w:after="0" w:line="240" w:lineRule="auto"/>
      </w:pPr>
      <w:r>
        <w:separator/>
      </w:r>
    </w:p>
  </w:footnote>
  <w:footnote w:type="continuationSeparator" w:id="0">
    <w:p w14:paraId="13F15C6E" w14:textId="77777777" w:rsidR="003B232C" w:rsidRDefault="003B2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微软雅黑" w:eastAsia="微软雅黑" w:hAnsi="微软雅黑" w:cs="微软雅黑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微软雅黑" w:eastAsia="微软雅黑" w:hAnsi="微软雅黑" w:cs="微软雅黑"/>
      </w:rPr>
    </w:lvl>
  </w:abstractNum>
  <w:num w:numId="1" w16cid:durableId="1180041909">
    <w:abstractNumId w:val="8"/>
  </w:num>
  <w:num w:numId="2" w16cid:durableId="944968141">
    <w:abstractNumId w:val="6"/>
  </w:num>
  <w:num w:numId="3" w16cid:durableId="2000427665">
    <w:abstractNumId w:val="5"/>
  </w:num>
  <w:num w:numId="4" w16cid:durableId="753404733">
    <w:abstractNumId w:val="4"/>
  </w:num>
  <w:num w:numId="5" w16cid:durableId="1994136161">
    <w:abstractNumId w:val="7"/>
  </w:num>
  <w:num w:numId="6" w16cid:durableId="443115416">
    <w:abstractNumId w:val="3"/>
  </w:num>
  <w:num w:numId="7" w16cid:durableId="1388647453">
    <w:abstractNumId w:val="2"/>
  </w:num>
  <w:num w:numId="8" w16cid:durableId="862017742">
    <w:abstractNumId w:val="1"/>
  </w:num>
  <w:num w:numId="9" w16cid:durableId="623661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80"/>
    <w:rsid w:val="00034616"/>
    <w:rsid w:val="0006063C"/>
    <w:rsid w:val="00063779"/>
    <w:rsid w:val="000673BD"/>
    <w:rsid w:val="00073A0B"/>
    <w:rsid w:val="00076A90"/>
    <w:rsid w:val="000B0670"/>
    <w:rsid w:val="000D305F"/>
    <w:rsid w:val="0015074B"/>
    <w:rsid w:val="00203EFC"/>
    <w:rsid w:val="002237AB"/>
    <w:rsid w:val="00257214"/>
    <w:rsid w:val="0029639D"/>
    <w:rsid w:val="00326F90"/>
    <w:rsid w:val="003738B2"/>
    <w:rsid w:val="003A3789"/>
    <w:rsid w:val="003B232C"/>
    <w:rsid w:val="004C065F"/>
    <w:rsid w:val="00501624"/>
    <w:rsid w:val="00507488"/>
    <w:rsid w:val="00510E46"/>
    <w:rsid w:val="00522357"/>
    <w:rsid w:val="00532194"/>
    <w:rsid w:val="0055045D"/>
    <w:rsid w:val="00583A8D"/>
    <w:rsid w:val="005A273C"/>
    <w:rsid w:val="00615178"/>
    <w:rsid w:val="006242A8"/>
    <w:rsid w:val="00742454"/>
    <w:rsid w:val="007D2A44"/>
    <w:rsid w:val="008907DD"/>
    <w:rsid w:val="00A23968"/>
    <w:rsid w:val="00AA1D8D"/>
    <w:rsid w:val="00AA2E0E"/>
    <w:rsid w:val="00AB5E7D"/>
    <w:rsid w:val="00AE08F8"/>
    <w:rsid w:val="00B40E00"/>
    <w:rsid w:val="00B47730"/>
    <w:rsid w:val="00B73521"/>
    <w:rsid w:val="00B82613"/>
    <w:rsid w:val="00B9660E"/>
    <w:rsid w:val="00C021F2"/>
    <w:rsid w:val="00C658E0"/>
    <w:rsid w:val="00C70E70"/>
    <w:rsid w:val="00CB0664"/>
    <w:rsid w:val="00CC0CF9"/>
    <w:rsid w:val="00E911DA"/>
    <w:rsid w:val="00EA2464"/>
    <w:rsid w:val="00EE156A"/>
    <w:rsid w:val="00EF6F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E13539"/>
  <w14:defaultImageDpi w14:val="300"/>
  <w15:docId w15:val="{7AFE52BC-FEEF-4764-8041-411A476F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color w:val="000000"/>
      <w:lang w:val="zh-CN"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40" w:line="276" w:lineRule="auto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微软雅黑" w:eastAsia="微软雅黑" w:hAnsi="微软雅黑" w:cs="微软雅黑"/>
      <w:b w:val="0"/>
      <w:color w:val="000000"/>
      <w:sz w:val="22"/>
      <w:lang w:val="zh-CN" w:eastAsia="zh-C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微软雅黑" w:eastAsia="微软雅黑" w:hAnsi="微软雅黑" w:cs="微软雅黑"/>
      <w:b w:val="0"/>
      <w:color w:val="000000"/>
      <w:sz w:val="22"/>
      <w:lang w:val="zh-CN" w:eastAsia="zh-C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  <w:lang w:val="zh-CN" w:eastAsia="zh-C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="微软雅黑"/>
      <w:b w:val="0"/>
      <w:bCs/>
      <w:color w:val="000000"/>
      <w:sz w:val="22"/>
      <w:szCs w:val="28"/>
      <w:lang w:val="zh-CN" w:eastAsia="zh-CN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微软雅黑" w:eastAsia="微软雅黑" w:hAnsi="微软雅黑" w:cs="微软雅黑"/>
      <w:b w:val="0"/>
      <w:bCs/>
      <w:color w:val="000000"/>
      <w:sz w:val="22"/>
      <w:szCs w:val="26"/>
      <w:lang w:val="zh-CN" w:eastAsia="zh-CN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微软雅黑" w:eastAsia="微软雅黑" w:hAnsi="微软雅黑" w:cs="微软雅黑"/>
      <w:b w:val="0"/>
      <w:bCs/>
      <w:color w:val="000000"/>
      <w:sz w:val="22"/>
      <w:lang w:val="zh-CN" w:eastAsia="zh-CN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eastAsia="微软雅黑" w:hAnsi="微软雅黑" w:cs="微软雅黑"/>
      <w:b w:val="0"/>
      <w:color w:val="000000"/>
      <w:spacing w:val="5"/>
      <w:kern w:val="28"/>
      <w:sz w:val="22"/>
      <w:szCs w:val="52"/>
      <w:lang w:val="zh-CN" w:eastAsia="zh-CN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微软雅黑" w:eastAsia="微软雅黑" w:hAnsi="微软雅黑" w:cs="微软雅黑"/>
      <w:b w:val="0"/>
      <w:i/>
      <w:iCs/>
      <w:color w:val="000000"/>
      <w:spacing w:val="15"/>
      <w:sz w:val="22"/>
      <w:szCs w:val="24"/>
      <w:lang w:val="zh-CN" w:eastAsia="zh-CN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微软雅黑" w:eastAsia="微软雅黑" w:hAnsi="微软雅黑" w:cs="微软雅黑"/>
      <w:b w:val="0"/>
      <w:color w:val="000000"/>
      <w:sz w:val="22"/>
      <w:lang w:val="zh-CN" w:eastAsia="zh-C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微软雅黑" w:eastAsia="微软雅黑" w:hAnsi="微软雅黑" w:cs="微软雅黑"/>
      <w:b w:val="0"/>
      <w:color w:val="000000"/>
      <w:sz w:val="22"/>
      <w:lang w:val="zh-CN" w:eastAsia="zh-CN"/>
    </w:rPr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微软雅黑" w:eastAsia="微软雅黑" w:hAnsi="微软雅黑" w:cs="微软雅黑"/>
      <w:b w:val="0"/>
      <w:color w:val="000000"/>
      <w:sz w:val="22"/>
      <w:szCs w:val="16"/>
      <w:lang w:val="zh-CN" w:eastAsia="zh-CN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Cs w:val="20"/>
      <w:lang w:val="zh-CN" w:eastAsia="zh-CN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微软雅黑" w:eastAsia="微软雅黑" w:hAnsi="微软雅黑" w:cs="微软雅黑"/>
      <w:b w:val="0"/>
      <w:color w:val="000000"/>
      <w:sz w:val="22"/>
      <w:szCs w:val="20"/>
      <w:lang w:val="zh-CN" w:eastAsia="zh-CN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微软雅黑" w:eastAsia="微软雅黑" w:hAnsi="微软雅黑" w:cs="微软雅黑"/>
      <w:b w:val="0"/>
      <w:i/>
      <w:iCs/>
      <w:color w:val="000000"/>
      <w:sz w:val="22"/>
      <w:lang w:val="zh-CN" w:eastAsia="zh-CN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微软雅黑" w:eastAsia="微软雅黑" w:hAnsi="微软雅黑" w:cs="微软雅黑"/>
      <w:b w:val="0"/>
      <w:bCs/>
      <w:i/>
      <w:iCs/>
      <w:color w:val="000000"/>
      <w:sz w:val="22"/>
      <w:lang w:val="zh-CN" w:eastAsia="zh-CN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微软雅黑" w:eastAsia="微软雅黑" w:hAnsi="微软雅黑" w:cs="微软雅黑"/>
      <w:b w:val="0"/>
      <w:color w:val="000000"/>
      <w:sz w:val="22"/>
      <w:lang w:val="zh-CN" w:eastAsia="zh-CN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微软雅黑" w:eastAsia="微软雅黑" w:hAnsi="微软雅黑" w:cs="微软雅黑"/>
      <w:b w:val="0"/>
      <w:i/>
      <w:iCs/>
      <w:color w:val="000000"/>
      <w:sz w:val="22"/>
      <w:lang w:val="zh-CN" w:eastAsia="zh-CN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微软雅黑" w:eastAsia="微软雅黑" w:hAnsi="微软雅黑" w:cs="微软雅黑"/>
      <w:b w:val="0"/>
      <w:i/>
      <w:iCs/>
      <w:color w:val="000000"/>
      <w:sz w:val="22"/>
      <w:lang w:val="zh-CN" w:eastAsia="zh-CN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微软雅黑" w:eastAsia="微软雅黑" w:hAnsi="微软雅黑" w:cs="微软雅黑"/>
      <w:b w:val="0"/>
      <w:color w:val="000000"/>
      <w:sz w:val="22"/>
      <w:szCs w:val="20"/>
      <w:lang w:val="zh-CN" w:eastAsia="zh-CN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微软雅黑" w:eastAsia="微软雅黑" w:hAnsi="微软雅黑" w:cs="微软雅黑"/>
      <w:b w:val="0"/>
      <w:i/>
      <w:iCs/>
      <w:color w:val="000000"/>
      <w:sz w:val="22"/>
      <w:szCs w:val="20"/>
      <w:lang w:val="zh-CN" w:eastAsia="zh-CN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80" w:line="264" w:lineRule="auto"/>
    </w:pPr>
    <w:rPr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微软雅黑" w:eastAsia="微软雅黑" w:hAnsi="微软雅黑" w:cs="微软雅黑"/>
      <w:b w:val="0"/>
      <w:bCs/>
      <w:color w:val="000000"/>
      <w:sz w:val="22"/>
      <w:lang w:val="zh-CN" w:eastAsia="zh-CN"/>
    </w:rPr>
  </w:style>
  <w:style w:type="character" w:styleId="af9">
    <w:name w:val="Emphasis"/>
    <w:basedOn w:val="a2"/>
    <w:uiPriority w:val="20"/>
    <w:qFormat/>
    <w:rsid w:val="00FC693F"/>
    <w:rPr>
      <w:rFonts w:ascii="微软雅黑" w:eastAsia="微软雅黑" w:hAnsi="微软雅黑" w:cs="微软雅黑"/>
      <w:b w:val="0"/>
      <w:i/>
      <w:iCs/>
      <w:color w:val="000000"/>
      <w:sz w:val="22"/>
      <w:lang w:val="zh-CN" w:eastAsia="zh-CN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微软雅黑" w:eastAsia="微软雅黑" w:hAnsi="微软雅黑" w:cs="微软雅黑"/>
      <w:b w:val="0"/>
      <w:bCs/>
      <w:i/>
      <w:iCs/>
      <w:color w:val="000000"/>
      <w:sz w:val="22"/>
      <w:lang w:val="zh-CN" w:eastAsia="zh-CN"/>
    </w:rPr>
  </w:style>
  <w:style w:type="character" w:styleId="afc">
    <w:name w:val="Subtle Emphasis"/>
    <w:basedOn w:val="a2"/>
    <w:uiPriority w:val="19"/>
    <w:qFormat/>
    <w:rsid w:val="00FC693F"/>
    <w:rPr>
      <w:rFonts w:ascii="微软雅黑" w:eastAsia="微软雅黑" w:hAnsi="微软雅黑" w:cs="微软雅黑"/>
      <w:b w:val="0"/>
      <w:i/>
      <w:iCs/>
      <w:color w:val="000000"/>
      <w:sz w:val="22"/>
      <w:lang w:val="zh-CN" w:eastAsia="zh-CN"/>
    </w:rPr>
  </w:style>
  <w:style w:type="character" w:styleId="afd">
    <w:name w:val="Intense Emphasis"/>
    <w:basedOn w:val="a2"/>
    <w:uiPriority w:val="21"/>
    <w:qFormat/>
    <w:rsid w:val="00FC693F"/>
    <w:rPr>
      <w:rFonts w:ascii="微软雅黑" w:eastAsia="微软雅黑" w:hAnsi="微软雅黑" w:cs="微软雅黑"/>
      <w:b w:val="0"/>
      <w:bCs/>
      <w:i/>
      <w:iCs/>
      <w:color w:val="000000"/>
      <w:sz w:val="22"/>
      <w:lang w:val="zh-CN" w:eastAsia="zh-CN"/>
    </w:rPr>
  </w:style>
  <w:style w:type="character" w:styleId="afe">
    <w:name w:val="Subtle Reference"/>
    <w:basedOn w:val="a2"/>
    <w:uiPriority w:val="31"/>
    <w:qFormat/>
    <w:rsid w:val="00FC693F"/>
    <w:rPr>
      <w:rFonts w:ascii="微软雅黑" w:eastAsia="微软雅黑" w:hAnsi="微软雅黑" w:cs="微软雅黑"/>
      <w:b w:val="0"/>
      <w:smallCaps/>
      <w:color w:val="000000"/>
      <w:sz w:val="22"/>
      <w:u w:val="single"/>
      <w:lang w:val="zh-CN" w:eastAsia="zh-CN"/>
    </w:rPr>
  </w:style>
  <w:style w:type="character" w:styleId="aff">
    <w:name w:val="Intense Reference"/>
    <w:basedOn w:val="a2"/>
    <w:uiPriority w:val="32"/>
    <w:qFormat/>
    <w:rsid w:val="00FC693F"/>
    <w:rPr>
      <w:rFonts w:ascii="微软雅黑" w:eastAsia="微软雅黑" w:hAnsi="微软雅黑" w:cs="微软雅黑"/>
      <w:b w:val="0"/>
      <w:bCs/>
      <w:smallCaps/>
      <w:color w:val="000000"/>
      <w:spacing w:val="5"/>
      <w:sz w:val="22"/>
      <w:u w:val="single"/>
      <w:lang w:val="zh-CN" w:eastAsia="zh-CN"/>
    </w:rPr>
  </w:style>
  <w:style w:type="character" w:styleId="aff0">
    <w:name w:val="Book Title"/>
    <w:basedOn w:val="a2"/>
    <w:uiPriority w:val="33"/>
    <w:qFormat/>
    <w:rsid w:val="00FC693F"/>
    <w:rPr>
      <w:rFonts w:ascii="微软雅黑" w:eastAsia="微软雅黑" w:hAnsi="微软雅黑" w:cs="微软雅黑"/>
      <w:b w:val="0"/>
      <w:bCs/>
      <w:smallCaps/>
      <w:color w:val="000000"/>
      <w:spacing w:val="5"/>
      <w:sz w:val="22"/>
      <w:lang w:val="zh-CN" w:eastAsia="zh-CN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b w:val="0"/>
      <w:sz w:val="22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color w:val="000000"/>
      <w:lang w:val="zh-CN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  <w:lang w:val="zh-CN"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before="80" w:after="0" w:line="260" w:lineRule="exact"/>
    </w:pPr>
    <w:rPr>
      <w:b/>
      <w:color w:val="000000"/>
    </w:rPr>
  </w:style>
  <w:style w:type="paragraph" w:customStyle="1" w:styleId="TOC21">
    <w:name w:val="TOC 21"/>
    <w:pPr>
      <w:spacing w:after="0" w:line="260" w:lineRule="exact"/>
      <w:ind w:left="283"/>
    </w:pPr>
    <w:rPr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3738B2"/>
  </w:style>
  <w:style w:type="paragraph" w:styleId="TOC2">
    <w:name w:val="toc 2"/>
    <w:basedOn w:val="a1"/>
    <w:next w:val="a1"/>
    <w:autoRedefine/>
    <w:uiPriority w:val="39"/>
    <w:unhideWhenUsed/>
    <w:rsid w:val="003738B2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微软雅黑"/>
        <a:font script="Jpan" typeface="微软雅黑"/>
        <a:font script="Hang" typeface="微软雅黑"/>
        <a:font script="Hans" typeface="微软雅黑"/>
        <a:font script="Hant" typeface="微软雅黑"/>
        <a:font script="Arab" typeface="微软雅黑"/>
        <a:font script="Hebr" typeface="微软雅黑"/>
        <a:font script="Thai" typeface="微软雅黑"/>
        <a:font script="Ethi" typeface="微软雅黑"/>
        <a:font script="Beng" typeface="微软雅黑"/>
        <a:font script="Gujr" typeface="微软雅黑"/>
        <a:font script="Khmr" typeface="微软雅黑"/>
        <a:font script="Knda" typeface="微软雅黑"/>
        <a:font script="Guru" typeface="微软雅黑"/>
        <a:font script="Cans" typeface="微软雅黑"/>
        <a:font script="Cher" typeface="微软雅黑"/>
        <a:font script="Yiii" typeface="微软雅黑"/>
        <a:font script="Tibt" typeface="微软雅黑"/>
        <a:font script="Thaa" typeface="微软雅黑"/>
        <a:font script="Deva" typeface="微软雅黑"/>
        <a:font script="Telu" typeface="微软雅黑"/>
        <a:font script="Taml" typeface="微软雅黑"/>
        <a:font script="Syrc" typeface="微软雅黑"/>
        <a:font script="Orya" typeface="微软雅黑"/>
        <a:font script="Mlym" typeface="微软雅黑"/>
        <a:font script="Laoo" typeface="微软雅黑"/>
        <a:font script="Sinh" typeface="微软雅黑"/>
        <a:font script="Mong" typeface="微软雅黑"/>
        <a:font script="Viet" typeface="微软雅黑"/>
        <a:font script="Uigh" typeface="微软雅黑"/>
        <a:font script="Geor" typeface="微软雅黑"/>
      </a:majorFont>
      <a:minorFont>
        <a:latin typeface="微软雅黑"/>
        <a:ea typeface="微软雅黑"/>
        <a:cs typeface="微软雅黑"/>
        <a:font script="Jpan" typeface="微软雅黑"/>
        <a:font script="Hang" typeface="微软雅黑"/>
        <a:font script="Hans" typeface="微软雅黑"/>
        <a:font script="Hant" typeface="微软雅黑"/>
        <a:font script="Arab" typeface="微软雅黑"/>
        <a:font script="Hebr" typeface="微软雅黑"/>
        <a:font script="Thai" typeface="微软雅黑"/>
        <a:font script="Ethi" typeface="微软雅黑"/>
        <a:font script="Beng" typeface="微软雅黑"/>
        <a:font script="Gujr" typeface="微软雅黑"/>
        <a:font script="Khmr" typeface="微软雅黑"/>
        <a:font script="Knda" typeface="微软雅黑"/>
        <a:font script="Guru" typeface="微软雅黑"/>
        <a:font script="Cans" typeface="微软雅黑"/>
        <a:font script="Cher" typeface="微软雅黑"/>
        <a:font script="Yiii" typeface="微软雅黑"/>
        <a:font script="Tibt" typeface="微软雅黑"/>
        <a:font script="Thaa" typeface="微软雅黑"/>
        <a:font script="Deva" typeface="微软雅黑"/>
        <a:font script="Telu" typeface="微软雅黑"/>
        <a:font script="Taml" typeface="微软雅黑"/>
        <a:font script="Syrc" typeface="微软雅黑"/>
        <a:font script="Orya" typeface="微软雅黑"/>
        <a:font script="Mlym" typeface="微软雅黑"/>
        <a:font script="Laoo" typeface="微软雅黑"/>
        <a:font script="Sinh" typeface="微软雅黑"/>
        <a:font script="Mong" typeface="微软雅黑"/>
        <a:font script="Viet" typeface="微软雅黑"/>
        <a:font script="Uigh" typeface="微软雅黑"/>
        <a:font script="Geor" typeface="微软雅黑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1712</Words>
  <Characters>9762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楚物志数字版美术需求书 精简版</dc:title>
  <dc:subject>界面、素材、动效及传承任务美术需求</dc:subject>
  <dc:creator>楚物志项目组</dc:creator>
  <cp:keywords/>
  <dc:description>generated by python-docx</dc:description>
  <cp:lastModifiedBy>漏 沙</cp:lastModifiedBy>
  <cp:revision>32</cp:revision>
  <dcterms:created xsi:type="dcterms:W3CDTF">2013-12-23T23:15:00Z</dcterms:created>
  <dcterms:modified xsi:type="dcterms:W3CDTF">2026-09-07T18:43:00Z</dcterms:modified>
  <cp:category/>
</cp:coreProperties>
</file>