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Behavioral Finance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Please finish this survey about Behavioral Finance and Experiment Design.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Your name: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Your ECNU student id: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Behavioral Finance studies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(Multiple answer is possible)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□How people behave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□How asset prices change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□How corporations behave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□How policies work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□How people make decisions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□How to think about markets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Can you explain “efficient market hypothesis (EMH)”?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In an efficient market, investment strategy can “beat the market”, on average.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○True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○False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Can you explain “arbitrage” in the financial markets?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Can you explain “Prospect Theory”?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Can you explain “The equity premium puzzle”?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Do you know any application of “Nudge” in behavioral economics?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Can you explain “Experimental Economics”?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Have you ever illustrate how you design an interactive game in Lucid Chart or other workflow software?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Have you ever implement an interactive game by using oTree?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Do you have a recorded video wherein you demonstrate how you design an interactive game?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13. Have you ever experience a research design (research question, contribution to related literature, methodology, expected results) to answer a behavioral finance question?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14. How do you rank yourself in your class?</w:t>
      </w:r>
    </w:p>
    <w:p>
      <w:r>
        <w:rPr>
          <w:color w:val="666666"/>
        </w:rPr>
        <w:t xml:space="preserve">   [输入0(Low)到100(High)的数字]</w:t>
      </w:r>
      <w:r>
        <w:rPr>
          <w:color w:val="FF0000"/>
        </w:rPr>
        <w:t>*</w:t>
      </w:r>
    </w:p>
    <w:p>
      <w:r>
        <w:t>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