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120"/>
        <w:jc w:val="center"/>
      </w:pPr>
      <w:r>
        <w:rPr>
          <w:rFonts w:ascii="Arial" w:cs="Arial" w:eastAsia="Arial" w:hAnsi="Arial"/>
          <w:b/>
          <w:bCs/>
          <w:color w:val="1B2A4A"/>
          <w:sz w:val="56"/>
          <w:szCs w:val="56"/>
        </w:rPr>
        <w:t xml:space="preserve">CLEARED</w:t>
      </w:r>
    </w:p>
    <w:p>
      <w:pPr>
        <w:pBdr>
          <w:bottom w:val="single" w:color="2E75B6" w:sz="4" w:space="8"/>
        </w:pBdr>
        <w:spacing w:after="80"/>
        <w:jc w:val="center"/>
      </w:pPr>
      <w:r>
        <w:rPr>
          <w:rFonts w:ascii="Arial" w:cs="Arial" w:eastAsia="Arial" w:hAnsi="Arial"/>
          <w:color w:val="2E75B6"/>
          <w:sz w:val="28"/>
          <w:szCs w:val="28"/>
        </w:rPr>
        <w:t xml:space="preserve">AI-Powered Tax Resolution</w:t>
      </w:r>
    </w:p>
    <w:p>
      <w:pPr>
        <w:spacing w:before="400" w:after="0"/>
      </w:pPr>
    </w:p>
    <w:p>
      <w:pPr>
        <w:spacing w:after="200"/>
        <w:jc w:val="center"/>
      </w:pPr>
      <w:r>
        <w:rPr>
          <w:rFonts w:ascii="Arial" w:cs="Arial" w:eastAsia="Arial" w:hAnsi="Arial"/>
          <w:b/>
          <w:bCs/>
          <w:color w:val="1B2A4A"/>
          <w:sz w:val="36"/>
          <w:szCs w:val="36"/>
        </w:rPr>
        <w:t xml:space="preserve">Tier 1 Technical Specification</w:t>
      </w:r>
    </w:p>
    <w:p>
      <w:pPr>
        <w:spacing w:after="60"/>
        <w:jc w:val="center"/>
      </w:pPr>
      <w:r>
        <w:rPr>
          <w:rFonts w:ascii="Arial" w:cs="Arial" w:eastAsia="Arial" w:hAnsi="Arial"/>
          <w:color w:val="555555"/>
          <w:sz w:val="24"/>
          <w:szCs w:val="24"/>
        </w:rPr>
        <w:t xml:space="preserve">Internal Practitioner AI Platform</w:t>
      </w:r>
    </w:p>
    <w:p>
      <w:pPr>
        <w:spacing w:before="600" w:after="0"/>
      </w:pPr>
    </w:p>
    <w:p>
      <w:pPr>
        <w:spacing w:after="80"/>
        <w:jc w:val="center"/>
      </w:pPr>
      <w:r>
        <w:rPr>
          <w:rFonts w:ascii="Arial" w:cs="Arial" w:eastAsia="Arial" w:hAnsi="Arial"/>
          <w:b/>
          <w:bCs/>
          <w:color w:val="C0392B"/>
          <w:sz w:val="20"/>
          <w:szCs w:val="20"/>
        </w:rPr>
        <w:t xml:space="preserve">CONFIDENTIAL — INTERNAL USE ONLY</w:t>
      </w:r>
    </w:p>
    <w:p>
      <w:pPr>
        <w:spacing w:after="60"/>
        <w:jc w:val="center"/>
      </w:pPr>
      <w:r>
        <w:rPr>
          <w:rFonts w:ascii="Arial" w:cs="Arial" w:eastAsia="Arial" w:hAnsi="Arial"/>
          <w:color w:val="555555"/>
          <w:sz w:val="20"/>
          <w:szCs w:val="20"/>
        </w:rPr>
        <w:t xml:space="preserve">Version 1.0 — March 2026</w:t>
      </w:r>
    </w:p>
    <w:p>
      <w:pPr>
        <w:spacing w:after="60"/>
        <w:jc w:val="center"/>
      </w:pPr>
      <w:r>
        <w:rPr>
          <w:rFonts w:ascii="Arial" w:cs="Arial" w:eastAsia="Arial" w:hAnsi="Arial"/>
          <w:color w:val="555555"/>
          <w:sz w:val="20"/>
          <w:szCs w:val="20"/>
        </w:rPr>
        <w:t xml:space="preserve">Prepared for Cleared Tax Resolution</w:t>
      </w:r>
    </w:p>
    <w:p>
      <w:r>
        <w:rPr>
          <w:sz w:val="21"/>
          <w:szCs w:val="21"/>
        </w:rPr>
        <w:t xml:space="preserve"/>
      </w:r>
      <w:r>
        <w:br w:type="page"/>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2A4A"/>
          <w:sz w:val="32"/>
          <w:szCs w:val="32"/>
        </w:rPr>
        <w:t xml:space="preserve">Table of Contents</w:t>
      </w:r>
    </w:p>
    <w:p>
      <w:pPr>
        <w:spacing w:after="140"/>
      </w:pPr>
      <w:r>
        <w:rPr>
          <w:rFonts w:ascii="Arial" w:cs="Arial" w:eastAsia="Arial" w:hAnsi="Arial"/>
          <w:color w:val="1B2A4A"/>
          <w:sz w:val="22"/>
          <w:szCs w:val="22"/>
        </w:rPr>
        <w:t xml:space="preserve">1. Executive Summary</w:t>
      </w:r>
    </w:p>
    <w:p>
      <w:pPr>
        <w:spacing w:after="140"/>
      </w:pPr>
      <w:r>
        <w:rPr>
          <w:rFonts w:ascii="Arial" w:cs="Arial" w:eastAsia="Arial" w:hAnsi="Arial"/>
          <w:color w:val="1B2A4A"/>
          <w:sz w:val="22"/>
          <w:szCs w:val="22"/>
        </w:rPr>
        <w:t xml:space="preserve">2. System Architecture Overview</w:t>
      </w:r>
    </w:p>
    <w:p>
      <w:pPr>
        <w:spacing w:after="140"/>
      </w:pPr>
      <w:r>
        <w:rPr>
          <w:rFonts w:ascii="Arial" w:cs="Arial" w:eastAsia="Arial" w:hAnsi="Arial"/>
          <w:color w:val="1B2A4A"/>
          <w:sz w:val="22"/>
          <w:szCs w:val="22"/>
        </w:rPr>
        <w:t xml:space="preserve">3. PII Tokenization Layer</w:t>
      </w:r>
    </w:p>
    <w:p>
      <w:pPr>
        <w:spacing w:after="140"/>
      </w:pPr>
      <w:r>
        <w:rPr>
          <w:rFonts w:ascii="Arial" w:cs="Arial" w:eastAsia="Arial" w:hAnsi="Arial"/>
          <w:color w:val="1B2A4A"/>
          <w:sz w:val="22"/>
          <w:szCs w:val="22"/>
        </w:rPr>
        <w:t xml:space="preserve">4. Claude API Integration</w:t>
      </w:r>
    </w:p>
    <w:p>
      <w:pPr>
        <w:spacing w:after="140"/>
      </w:pPr>
      <w:r>
        <w:rPr>
          <w:rFonts w:ascii="Arial" w:cs="Arial" w:eastAsia="Arial" w:hAnsi="Arial"/>
          <w:color w:val="1B2A4A"/>
          <w:sz w:val="22"/>
          <w:szCs w:val="22"/>
        </w:rPr>
        <w:t xml:space="preserve">5. System Prompt Framework</w:t>
      </w:r>
    </w:p>
    <w:p>
      <w:pPr>
        <w:spacing w:after="140"/>
      </w:pPr>
      <w:r>
        <w:rPr>
          <w:rFonts w:ascii="Arial" w:cs="Arial" w:eastAsia="Arial" w:hAnsi="Arial"/>
          <w:color w:val="1B2A4A"/>
          <w:sz w:val="22"/>
          <w:szCs w:val="22"/>
        </w:rPr>
        <w:t xml:space="preserve">6. Practitioner Review Workflow</w:t>
      </w:r>
    </w:p>
    <w:p>
      <w:pPr>
        <w:spacing w:after="140"/>
      </w:pPr>
      <w:r>
        <w:rPr>
          <w:rFonts w:ascii="Arial" w:cs="Arial" w:eastAsia="Arial" w:hAnsi="Arial"/>
          <w:color w:val="1B2A4A"/>
          <w:sz w:val="22"/>
          <w:szCs w:val="22"/>
        </w:rPr>
        <w:t xml:space="preserve">7. Audit &amp; Logging Infrastructure</w:t>
      </w:r>
    </w:p>
    <w:p>
      <w:pPr>
        <w:spacing w:after="140"/>
      </w:pPr>
      <w:r>
        <w:rPr>
          <w:rFonts w:ascii="Arial" w:cs="Arial" w:eastAsia="Arial" w:hAnsi="Arial"/>
          <w:color w:val="1B2A4A"/>
          <w:sz w:val="22"/>
          <w:szCs w:val="22"/>
        </w:rPr>
        <w:t xml:space="preserve">8. Security Architecture</w:t>
      </w:r>
    </w:p>
    <w:p>
      <w:pPr>
        <w:spacing w:after="140"/>
      </w:pPr>
      <w:r>
        <w:rPr>
          <w:rFonts w:ascii="Arial" w:cs="Arial" w:eastAsia="Arial" w:hAnsi="Arial"/>
          <w:color w:val="1B2A4A"/>
          <w:sz w:val="22"/>
          <w:szCs w:val="22"/>
        </w:rPr>
        <w:t xml:space="preserve">9. Regulatory Compliance Mapping</w:t>
      </w:r>
    </w:p>
    <w:p>
      <w:pPr>
        <w:spacing w:after="140"/>
      </w:pPr>
      <w:r>
        <w:rPr>
          <w:rFonts w:ascii="Arial" w:cs="Arial" w:eastAsia="Arial" w:hAnsi="Arial"/>
          <w:color w:val="1B2A4A"/>
          <w:sz w:val="22"/>
          <w:szCs w:val="22"/>
        </w:rPr>
        <w:t xml:space="preserve">10. Sample Implementation Code</w:t>
      </w:r>
    </w:p>
    <w:p>
      <w:pPr>
        <w:spacing w:after="140"/>
      </w:pPr>
      <w:r>
        <w:rPr>
          <w:rFonts w:ascii="Arial" w:cs="Arial" w:eastAsia="Arial" w:hAnsi="Arial"/>
          <w:color w:val="1B2A4A"/>
          <w:sz w:val="22"/>
          <w:szCs w:val="22"/>
        </w:rPr>
        <w:t xml:space="preserve">11. Deployment Checklist</w:t>
      </w:r>
    </w:p>
    <w:p>
      <w:pPr>
        <w:spacing w:after="140"/>
      </w:pPr>
      <w:r>
        <w:rPr>
          <w:rFonts w:ascii="Arial" w:cs="Arial" w:eastAsia="Arial" w:hAnsi="Arial"/>
          <w:color w:val="1B2A4A"/>
          <w:sz w:val="22"/>
          <w:szCs w:val="22"/>
        </w:rPr>
        <w:t xml:space="preserve">Appendix A: Data Classification Matrix</w:t>
      </w:r>
    </w:p>
    <w:p>
      <w:pPr>
        <w:spacing w:after="140"/>
      </w:pPr>
      <w:r>
        <w:rPr>
          <w:rFonts w:ascii="Arial" w:cs="Arial" w:eastAsia="Arial" w:hAnsi="Arial"/>
          <w:color w:val="1B2A4A"/>
          <w:sz w:val="22"/>
          <w:szCs w:val="22"/>
        </w:rPr>
        <w:t xml:space="preserve">Appendix B: Incident Response Protocol</w:t>
      </w:r>
    </w:p>
    <w:p>
      <w:r>
        <w:rPr>
          <w:sz w:val="21"/>
          <w:szCs w:val="21"/>
        </w:rPr>
        <w:t xml:space="preserve"/>
      </w:r>
      <w:r>
        <w:br w:type="page"/>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28"/>
          <w:szCs w:val="28"/>
        </w:rPr>
        <w:t xml:space="preserve">1. Executive Summary</w:t>
      </w:r>
    </w:p>
    <w:p>
      <w:pPr>
        <w:spacing w:after="160" w:line="276"/>
      </w:pPr>
      <w:r>
        <w:rPr>
          <w:rFonts w:ascii="Arial" w:cs="Arial" w:eastAsia="Arial" w:hAnsi="Arial"/>
          <w:color w:val="1A1A1A"/>
          <w:sz w:val="21"/>
          <w:szCs w:val="21"/>
        </w:rPr>
        <w:t xml:space="preserve">This specification defines the architecture, security model, compliance framework, and implementation plan for Cleared’s Tier 1 internal practitioner platform — an AI-augmented workflow tool that enables licensed tax professionals (Enrolled Agents, CPAs, and attorneys) to deliver faster, more thorough tax resolution services while maintaining full regulatory compliance.</w:t>
      </w:r>
    </w:p>
    <w:p>
      <w:pPr>
        <w:spacing w:after="160" w:line="276"/>
      </w:pPr>
      <w:r>
        <w:rPr>
          <w:rFonts w:ascii="Arial" w:cs="Arial" w:eastAsia="Arial" w:hAnsi="Arial"/>
          <w:color w:val="1A1A1A"/>
          <w:sz w:val="21"/>
          <w:szCs w:val="21"/>
        </w:rPr>
        <w:t xml:space="preserve">The platform routes client-specific analytical and drafting work through Anthropic’s Claude API under commercial terms that contractually prohibit training on input/output data. A PII tokenization layer strips personally identifiable information before any data reaches the API. A mandatory human review workflow ensures that every piece of AI-generated work product is examined, edited, and approved by a licensed practitioner before delivery to the client.</w:t>
      </w:r>
    </w:p>
    <w:p>
      <w:pPr>
        <w:spacing w:after="160" w:line="276"/>
      </w:pPr>
      <w:r>
        <w:rPr>
          <w:rFonts w:ascii="Arial" w:cs="Arial" w:eastAsia="Arial" w:hAnsi="Arial"/>
          <w:color w:val="1A1A1A"/>
          <w:sz w:val="21"/>
          <w:szCs w:val="21"/>
        </w:rPr>
        <w:t xml:space="preserve">This document is intended for Cleared’s founding team, technology partners, and compliance advisors. It serves as both an engineering specification and a regulatory compliance artifact demonstrating Cleared’s commitment to responsible AI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2E75B6"/>
                <w:sz w:val="21"/>
                <w:szCs w:val="21"/>
              </w:rPr>
              <w:t xml:space="preserve">Design Principle</w:t>
            </w:r>
          </w:p>
          <w:p>
            <w:pPr>
              <w:spacing w:after="60" w:line="260"/>
            </w:pPr>
            <w:r>
              <w:rPr>
                <w:rFonts w:ascii="Arial" w:cs="Arial" w:eastAsia="Arial" w:hAnsi="Arial"/>
                <w:color w:val="1A1A1A"/>
                <w:sz w:val="20"/>
                <w:szCs w:val="20"/>
              </w:rPr>
              <w:t xml:space="preserve">The AI is the engine. The licensed professional is the driver. The client relationship is with the firm, not the software. Every architectural decision in this specification flows from this principle.</w:t>
            </w:r>
          </w:p>
        </w:tc>
      </w:tr>
    </w:tbl>
    <w:p>
      <w:pPr>
        <w:spacing w:before="80" w:after="0"/>
      </w:pPr>
    </w:p>
    <w:p>
      <w:pPr>
        <w:pBdr>
          <w:bottom w:val="single" w:color="2E75B6" w:sz="4" w:space="1"/>
        </w:pBdr>
        <w:spacing w:before="200" w:after="200"/>
      </w:pPr>
    </w:p>
    <w:p>
      <w:pPr>
        <w:pStyle w:val="Heading1"/>
        <w:spacing w:before="360" w:after="200"/>
      </w:pPr>
      <w:r>
        <w:rPr>
          <w:rFonts w:ascii="Arial" w:cs="Arial" w:eastAsia="Arial" w:hAnsi="Arial"/>
          <w:b/>
          <w:bCs/>
          <w:color w:val="1B2A4A"/>
          <w:sz w:val="28"/>
          <w:szCs w:val="28"/>
        </w:rPr>
        <w:t xml:space="preserve">2. System Architecture Overview</w:t>
      </w:r>
    </w:p>
    <w:p>
      <w:pPr>
        <w:pStyle w:val="Heading2"/>
        <w:spacing w:before="280" w:after="160"/>
      </w:pPr>
      <w:r>
        <w:rPr>
          <w:rFonts w:ascii="Arial" w:cs="Arial" w:eastAsia="Arial" w:hAnsi="Arial"/>
          <w:b/>
          <w:bCs/>
          <w:color w:val="2E75B6"/>
          <w:sz w:val="24"/>
          <w:szCs w:val="24"/>
        </w:rPr>
        <w:t xml:space="preserve">2.1 High-Level Data Flow</w:t>
      </w:r>
    </w:p>
    <w:p>
      <w:pPr>
        <w:spacing w:after="160" w:line="276"/>
      </w:pPr>
      <w:r>
        <w:rPr>
          <w:rFonts w:ascii="Arial" w:cs="Arial" w:eastAsia="Arial" w:hAnsi="Arial"/>
          <w:color w:val="1A1A1A"/>
          <w:sz w:val="21"/>
          <w:szCs w:val="21"/>
        </w:rPr>
        <w:t xml:space="preserve">The system operates as a five-stage pipeline. Each stage has distinct security boundaries and compliance responsibilities:</w:t>
      </w:r>
    </w:p>
    <w:p>
      <w:pPr>
        <w:pStyle w:val="ListParagraph"/>
        <w:numPr>
          <w:ilvl w:val="0"/>
          <w:numId w:val="2"/>
        </w:numPr>
        <w:spacing w:after="100" w:line="276"/>
      </w:pPr>
      <w:r>
        <w:rPr>
          <w:rFonts w:ascii="Arial" w:cs="Arial" w:eastAsia="Arial" w:hAnsi="Arial"/>
          <w:color w:val="1A1A1A"/>
          <w:sz w:val="21"/>
          <w:szCs w:val="21"/>
        </w:rPr>
        <w:t xml:space="preserve">Practitioner Input — The licensed professional enters client data (IRS transcripts, financial statements, case notes) into the Cleared internal application.</w:t>
      </w:r>
    </w:p>
    <w:p>
      <w:pPr>
        <w:pStyle w:val="ListParagraph"/>
        <w:numPr>
          <w:ilvl w:val="0"/>
          <w:numId w:val="2"/>
        </w:numPr>
        <w:spacing w:after="100" w:line="276"/>
      </w:pPr>
      <w:r>
        <w:rPr>
          <w:rFonts w:ascii="Arial" w:cs="Arial" w:eastAsia="Arial" w:hAnsi="Arial"/>
          <w:color w:val="1A1A1A"/>
          <w:sz w:val="21"/>
          <w:szCs w:val="21"/>
        </w:rPr>
        <w:t xml:space="preserve">PII Tokenization — The tokenization engine strips all personally identifiable information and replaces it with deterministic tokens. A secure mapping table is stored locally.</w:t>
      </w:r>
    </w:p>
    <w:p>
      <w:pPr>
        <w:pStyle w:val="ListParagraph"/>
        <w:numPr>
          <w:ilvl w:val="0"/>
          <w:numId w:val="2"/>
        </w:numPr>
        <w:spacing w:after="100" w:line="276"/>
      </w:pPr>
      <w:r>
        <w:rPr>
          <w:rFonts w:ascii="Arial" w:cs="Arial" w:eastAsia="Arial" w:hAnsi="Arial"/>
          <w:color w:val="1A1A1A"/>
          <w:sz w:val="21"/>
          <w:szCs w:val="21"/>
        </w:rPr>
        <w:t xml:space="preserve">API Call — The sanitized data is sent to the Claude API with the Cleared system prompt. The API processes the request and returns a response.</w:t>
      </w:r>
    </w:p>
    <w:p>
      <w:pPr>
        <w:pStyle w:val="ListParagraph"/>
        <w:numPr>
          <w:ilvl w:val="0"/>
          <w:numId w:val="2"/>
        </w:numPr>
        <w:spacing w:after="100" w:line="276"/>
      </w:pPr>
      <w:r>
        <w:rPr>
          <w:rFonts w:ascii="Arial" w:cs="Arial" w:eastAsia="Arial" w:hAnsi="Arial"/>
          <w:color w:val="1A1A1A"/>
          <w:sz w:val="21"/>
          <w:szCs w:val="21"/>
        </w:rPr>
        <w:t xml:space="preserve">De-Tokenization — The response is received and PII tokens are replaced with the original values from the local mapping table.</w:t>
      </w:r>
    </w:p>
    <w:p>
      <w:pPr>
        <w:pStyle w:val="ListParagraph"/>
        <w:numPr>
          <w:ilvl w:val="0"/>
          <w:numId w:val="2"/>
        </w:numPr>
        <w:spacing w:after="100" w:line="276"/>
      </w:pPr>
      <w:r>
        <w:rPr>
          <w:rFonts w:ascii="Arial" w:cs="Arial" w:eastAsia="Arial" w:hAnsi="Arial"/>
          <w:color w:val="1A1A1A"/>
          <w:sz w:val="21"/>
          <w:szCs w:val="21"/>
        </w:rPr>
        <w:t xml:space="preserve">Practitioner Review — The de-tokenized output enters a review queue. The licensed professional reviews, edits, approves or rejects the work product.</w:t>
      </w:r>
    </w:p>
    <w:p>
      <w:pPr>
        <w:spacing w:before="80" w:after="0"/>
      </w:pPr>
    </w:p>
    <w:p>
      <w:pPr>
        <w:pStyle w:val="Heading2"/>
        <w:spacing w:before="280" w:after="160"/>
      </w:pPr>
      <w:r>
        <w:rPr>
          <w:rFonts w:ascii="Arial" w:cs="Arial" w:eastAsia="Arial" w:hAnsi="Arial"/>
          <w:b/>
          <w:bCs/>
          <w:color w:val="2E75B6"/>
          <w:sz w:val="24"/>
          <w:szCs w:val="24"/>
        </w:rPr>
        <w:t xml:space="preserve">2.2 Component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Component</w:t>
            </w:r>
          </w:p>
        </w:tc>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Technology</w:t>
            </w:r>
          </w:p>
        </w:tc>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Hosting</w:t>
            </w:r>
          </w:p>
        </w:tc>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Data Exposure</w:t>
            </w:r>
          </w:p>
        </w:tc>
      </w:tr>
      <w:tr>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Web Application</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React / Next.js</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Cleared Cloud (AWS/GCP)</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Full PII (encrypted)</w:t>
            </w:r>
          </w:p>
        </w:tc>
      </w:tr>
      <w:tr>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Tokenization Engine</w:t>
            </w:r>
          </w:p>
        </w:tc>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Python / Node.js service</w:t>
            </w:r>
          </w:p>
        </w:tc>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Cleared Cloud (internal)</w:t>
            </w:r>
          </w:p>
        </w:tc>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Full PII → Tokens</w:t>
            </w:r>
          </w:p>
        </w:tc>
      </w:tr>
      <w:tr>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Claude API Gateway</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API middleware</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Cleared Cloud</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Tokenized data only</w:t>
            </w:r>
          </w:p>
        </w:tc>
      </w:tr>
      <w:tr>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Anthropic Claude API</w:t>
            </w:r>
          </w:p>
        </w:tc>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claude-sonnet-4-6</w:t>
            </w:r>
          </w:p>
        </w:tc>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Anthropic infrastructure</w:t>
            </w:r>
          </w:p>
        </w:tc>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Tokenized data only</w:t>
            </w:r>
          </w:p>
        </w:tc>
      </w:tr>
      <w:tr>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Review Queue</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Internal application</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Cleared Cloud</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Full PII (de-tokenized)</w:t>
            </w:r>
          </w:p>
        </w:tc>
      </w:tr>
      <w:tr>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Audit Log Store</w:t>
            </w:r>
          </w:p>
        </w:tc>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PostgreSQL + S3</w:t>
            </w:r>
          </w:p>
        </w:tc>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Cleared Cloud (encrypted)</w:t>
            </w:r>
          </w:p>
        </w:tc>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Tokenized + metadata</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2E75B6"/>
                <w:sz w:val="21"/>
                <w:szCs w:val="21"/>
              </w:rPr>
              <w:t xml:space="preserve">Critical Architecture Constraint</w:t>
            </w:r>
          </w:p>
          <w:p>
            <w:pPr>
              <w:spacing w:after="60" w:line="260"/>
            </w:pPr>
            <w:r>
              <w:rPr>
                <w:rFonts w:ascii="Arial" w:cs="Arial" w:eastAsia="Arial" w:hAnsi="Arial"/>
                <w:color w:val="1A1A1A"/>
                <w:sz w:val="20"/>
                <w:szCs w:val="20"/>
              </w:rPr>
              <w:t xml:space="preserve">PII never leaves Cleared’s infrastructure. The tokenization boundary is absolute: nothing upstream of the tokenization engine (the Claude API, Anthropic’s servers, any third-party service) ever receives real names, SSNs, addresses, EINs, or other identifying information.</w:t>
            </w:r>
          </w:p>
        </w:tc>
      </w:tr>
    </w:tbl>
    <w:p>
      <w:pPr>
        <w:spacing w:before="80" w:after="0"/>
      </w:pPr>
    </w:p>
    <w:p>
      <w:pPr>
        <w:pBdr>
          <w:bottom w:val="single" w:color="2E75B6" w:sz="4" w:space="1"/>
        </w:pBdr>
        <w:spacing w:before="200" w:after="200"/>
      </w:pPr>
    </w:p>
    <w:p>
      <w:pPr>
        <w:pStyle w:val="Heading1"/>
        <w:spacing w:before="360" w:after="200"/>
      </w:pPr>
      <w:r>
        <w:rPr>
          <w:rFonts w:ascii="Arial" w:cs="Arial" w:eastAsia="Arial" w:hAnsi="Arial"/>
          <w:b/>
          <w:bCs/>
          <w:color w:val="1B2A4A"/>
          <w:sz w:val="28"/>
          <w:szCs w:val="28"/>
        </w:rPr>
        <w:t xml:space="preserve">3. PII Tokenization Layer</w:t>
      </w:r>
    </w:p>
    <w:p>
      <w:pPr>
        <w:pStyle w:val="Heading2"/>
        <w:spacing w:before="280" w:after="160"/>
      </w:pPr>
      <w:r>
        <w:rPr>
          <w:rFonts w:ascii="Arial" w:cs="Arial" w:eastAsia="Arial" w:hAnsi="Arial"/>
          <w:b/>
          <w:bCs/>
          <w:color w:val="2E75B6"/>
          <w:sz w:val="24"/>
          <w:szCs w:val="24"/>
        </w:rPr>
        <w:t xml:space="preserve">3.1 Data Classification</w:t>
      </w:r>
    </w:p>
    <w:p>
      <w:pPr>
        <w:spacing w:after="160" w:line="276"/>
      </w:pPr>
      <w:r>
        <w:rPr>
          <w:rFonts w:ascii="Arial" w:cs="Arial" w:eastAsia="Arial" w:hAnsi="Arial"/>
          <w:color w:val="1A1A1A"/>
          <w:sz w:val="21"/>
          <w:szCs w:val="21"/>
        </w:rPr>
        <w:t xml:space="preserve">All client data is classified into three tiers based on sensitivity and tokenization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2340"/>
        <w:gridCol w:w="2340"/>
      </w:tblGrid>
      <w:tr>
        <w:tc>
          <w:tcPr>
            <w:tcW w:type="dxa" w:w="15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Tier</w:t>
            </w:r>
          </w:p>
        </w:tc>
        <w:tc>
          <w:tcPr>
            <w:tcW w:type="dxa" w:w="312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Data Types</w:t>
            </w:r>
          </w:p>
        </w:tc>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Treatment</w:t>
            </w:r>
          </w:p>
        </w:tc>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Example</w:t>
            </w:r>
          </w:p>
        </w:tc>
      </w:tr>
      <w:tr>
        <w:tc>
          <w:tcPr>
            <w:tcW w:type="dxa" w:w="156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C0392B"/>
                <w:sz w:val="20"/>
                <w:szCs w:val="20"/>
              </w:rPr>
              <w:t xml:space="preserve">Tier 1 — </w:t>
            </w:r>
            <w:r>
              <w:rPr>
                <w:rFonts w:ascii="Arial" w:cs="Arial" w:eastAsia="Arial" w:hAnsi="Arial"/>
                <w:b/>
                <w:bCs/>
                <w:color w:val="C0392B"/>
                <w:sz w:val="20"/>
                <w:szCs w:val="20"/>
              </w:rPr>
              <w:t xml:space="preserve">STRIP</w:t>
            </w:r>
          </w:p>
        </w:tc>
        <w:tc>
          <w:tcPr>
            <w:tcW w:type="dxa" w:w="312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SSN, EIN, full name, DOB, address, bank account numbers, routing numbers</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Replace with deterministic token</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123-45-6789 → [SSN-A1B2C3]</w:t>
            </w:r>
          </w:p>
        </w:tc>
      </w:tr>
      <w:tr>
        <w:tc>
          <w:tcPr>
            <w:tcW w:type="dxa" w:w="1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2E75B6"/>
                <w:sz w:val="20"/>
                <w:szCs w:val="20"/>
              </w:rPr>
              <w:t xml:space="preserve">Tier 2 — </w:t>
            </w:r>
            <w:r>
              <w:rPr>
                <w:rFonts w:ascii="Arial" w:cs="Arial" w:eastAsia="Arial" w:hAnsi="Arial"/>
                <w:b/>
                <w:bCs/>
                <w:color w:val="2E75B6"/>
                <w:sz w:val="20"/>
                <w:szCs w:val="20"/>
              </w:rPr>
              <w:t xml:space="preserve">MASK</w:t>
            </w:r>
          </w:p>
        </w:tc>
        <w:tc>
          <w:tcPr>
            <w:tcW w:type="dxa" w:w="312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Employer name, specific property addresses, account-specific IRS notice numbers</w:t>
            </w:r>
          </w:p>
        </w:tc>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Replace with generic descriptor</w:t>
            </w:r>
          </w:p>
        </w:tc>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"Memphis Electric" → [EMPLOYER-1]</w:t>
            </w:r>
          </w:p>
        </w:tc>
      </w:tr>
      <w:tr>
        <w:tc>
          <w:tcPr>
            <w:tcW w:type="dxa" w:w="156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27AE60"/>
                <w:sz w:val="20"/>
                <w:szCs w:val="20"/>
              </w:rPr>
              <w:t xml:space="preserve">Tier 3 — </w:t>
            </w:r>
            <w:r>
              <w:rPr>
                <w:rFonts w:ascii="Arial" w:cs="Arial" w:eastAsia="Arial" w:hAnsi="Arial"/>
                <w:b/>
                <w:bCs/>
                <w:color w:val="27AE60"/>
                <w:sz w:val="20"/>
                <w:szCs w:val="20"/>
              </w:rPr>
              <w:t xml:space="preserve">PASS</w:t>
            </w:r>
          </w:p>
        </w:tc>
        <w:tc>
          <w:tcPr>
            <w:tcW w:type="dxa" w:w="312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Tax years, filing statuses, income amounts, tax liability figures, IRS procedure types, tax form numbers</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Pass through to API (analytical value, no identifying risk)</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"2022 1040, AGI $87,500" → unchanged</w:t>
            </w:r>
          </w:p>
        </w:tc>
      </w:tr>
    </w:tbl>
    <w:p>
      <w:pPr>
        <w:spacing w:before="80" w:after="0"/>
      </w:pPr>
    </w:p>
    <w:p>
      <w:pPr>
        <w:pStyle w:val="Heading2"/>
        <w:spacing w:before="280" w:after="160"/>
      </w:pPr>
      <w:r>
        <w:rPr>
          <w:rFonts w:ascii="Arial" w:cs="Arial" w:eastAsia="Arial" w:hAnsi="Arial"/>
          <w:b/>
          <w:bCs/>
          <w:color w:val="2E75B6"/>
          <w:sz w:val="24"/>
          <w:szCs w:val="24"/>
        </w:rPr>
        <w:t xml:space="preserve">3.2 Tokenization Engine Design</w:t>
      </w:r>
    </w:p>
    <w:p>
      <w:pPr>
        <w:spacing w:after="160" w:line="276"/>
      </w:pPr>
      <w:r>
        <w:rPr>
          <w:rFonts w:ascii="Arial" w:cs="Arial" w:eastAsia="Arial" w:hAnsi="Arial"/>
          <w:color w:val="1A1A1A"/>
          <w:sz w:val="21"/>
          <w:szCs w:val="21"/>
        </w:rPr>
        <w:t xml:space="preserve">The tokenization engine operates as a stateless microservice within Cleared’s infrastructure. It performs two operations: tokenize (before API call) and de-tokenize (after API response).</w:t>
      </w:r>
    </w:p>
    <w:p>
      <w:pPr>
        <w:spacing w:before="200" w:after="120"/>
      </w:pPr>
      <w:r>
        <w:rPr>
          <w:rFonts w:ascii="Arial" w:cs="Arial" w:eastAsia="Arial" w:hAnsi="Arial"/>
          <w:b/>
          <w:bCs/>
          <w:color w:val="1B2A4A"/>
          <w:sz w:val="22"/>
          <w:szCs w:val="22"/>
        </w:rPr>
        <w:t xml:space="preserve">Token Format</w:t>
      </w:r>
    </w:p>
    <w:p>
      <w:pPr>
        <w:spacing w:after="160" w:line="276"/>
      </w:pPr>
      <w:r>
        <w:rPr>
          <w:rFonts w:ascii="Arial" w:cs="Arial" w:eastAsia="Arial" w:hAnsi="Arial"/>
          <w:color w:val="1A1A1A"/>
          <w:sz w:val="21"/>
          <w:szCs w:val="21"/>
        </w:rPr>
        <w:t xml:space="preserve">Tokens follow a deterministic format: [TYPE-HASH] where TYPE is the data category (SSN, NAME, ADDR, EIN, EMPLOYER, BANK) and HASH is a 6-character alphanumeric string derived from a keyed HMAC of the original value. This ensures the same input always produces the same token within a session, preserving referential consistency in the AI’s analysis.</w:t>
      </w:r>
    </w:p>
    <w:p>
      <w:pPr>
        <w:spacing w:before="200" w:after="120"/>
      </w:pPr>
      <w:r>
        <w:rPr>
          <w:rFonts w:ascii="Arial" w:cs="Arial" w:eastAsia="Arial" w:hAnsi="Arial"/>
          <w:b/>
          <w:bCs/>
          <w:color w:val="1B2A4A"/>
          <w:sz w:val="22"/>
          <w:szCs w:val="22"/>
        </w:rPr>
        <w:t xml:space="preserve">Token Mapping Table</w:t>
      </w:r>
    </w:p>
    <w:p>
      <w:pPr>
        <w:spacing w:after="160" w:line="276"/>
      </w:pPr>
      <w:r>
        <w:rPr>
          <w:rFonts w:ascii="Arial" w:cs="Arial" w:eastAsia="Arial" w:hAnsi="Arial"/>
          <w:color w:val="1A1A1A"/>
          <w:sz w:val="21"/>
          <w:szCs w:val="21"/>
        </w:rPr>
        <w:t xml:space="preserve">The bidirectional mapping between tokens and original values is stored in an encrypted, session-scoped table within Cleared’s database. Mappings are created at the start of each analytical session and are purged after the practitioner finalizes the work product. The mapping table is encrypted at rest using AES-256 and is accessible only to the tokenization service and the de-tokenization service.</w:t>
      </w:r>
    </w:p>
    <w:p>
      <w:pPr>
        <w:spacing w:before="200" w:after="120"/>
      </w:pPr>
      <w:r>
        <w:rPr>
          <w:rFonts w:ascii="Arial" w:cs="Arial" w:eastAsia="Arial" w:hAnsi="Arial"/>
          <w:b/>
          <w:bCs/>
          <w:color w:val="1B2A4A"/>
          <w:sz w:val="22"/>
          <w:szCs w:val="22"/>
        </w:rPr>
        <w:t xml:space="preserve">Tokenization Approach</w:t>
      </w:r>
    </w:p>
    <w:p>
      <w:pPr>
        <w:spacing w:after="160" w:line="276"/>
      </w:pPr>
      <w:r>
        <w:rPr>
          <w:rFonts w:ascii="Arial" w:cs="Arial" w:eastAsia="Arial" w:hAnsi="Arial"/>
          <w:color w:val="1A1A1A"/>
          <w:sz w:val="21"/>
          <w:szCs w:val="21"/>
        </w:rPr>
        <w:t xml:space="preserve">The engine uses a multi-pass approach to ensure comprehensive coverage:</w:t>
      </w:r>
    </w:p>
    <w:p>
      <w:pPr>
        <w:pStyle w:val="ListParagraph"/>
        <w:numPr>
          <w:ilvl w:val="0"/>
          <w:numId w:val="3"/>
        </w:numPr>
        <w:spacing w:after="100" w:line="276"/>
      </w:pPr>
      <w:r>
        <w:rPr>
          <w:rFonts w:ascii="Arial" w:cs="Arial" w:eastAsia="Arial" w:hAnsi="Arial"/>
          <w:color w:val="1A1A1A"/>
          <w:sz w:val="21"/>
          <w:szCs w:val="21"/>
        </w:rPr>
        <w:t xml:space="preserve">Pattern-based extraction: Regex patterns identify structured PII (SSNs, EINs, phone numbers, dates of birth, account numbers).</w:t>
      </w:r>
    </w:p>
    <w:p>
      <w:pPr>
        <w:pStyle w:val="ListParagraph"/>
        <w:numPr>
          <w:ilvl w:val="0"/>
          <w:numId w:val="3"/>
        </w:numPr>
        <w:spacing w:after="100" w:line="276"/>
      </w:pPr>
      <w:r>
        <w:rPr>
          <w:rFonts w:ascii="Arial" w:cs="Arial" w:eastAsia="Arial" w:hAnsi="Arial"/>
          <w:color w:val="1A1A1A"/>
          <w:sz w:val="21"/>
          <w:szCs w:val="21"/>
        </w:rPr>
        <w:t xml:space="preserve">Named Entity Recognition (NER): A lightweight NER model identifies names, addresses, and organization names in unstructured text.</w:t>
      </w:r>
    </w:p>
    <w:p>
      <w:pPr>
        <w:pStyle w:val="ListParagraph"/>
        <w:numPr>
          <w:ilvl w:val="0"/>
          <w:numId w:val="3"/>
        </w:numPr>
        <w:spacing w:after="100" w:line="276"/>
      </w:pPr>
      <w:r>
        <w:rPr>
          <w:rFonts w:ascii="Arial" w:cs="Arial" w:eastAsia="Arial" w:hAnsi="Arial"/>
          <w:color w:val="1A1A1A"/>
          <w:sz w:val="21"/>
          <w:szCs w:val="21"/>
        </w:rPr>
        <w:t xml:space="preserve">IRS document-specific parsing: Custom parsers handle the structured formats of IRS transcripts (Account Transcripts, Wage &amp; Income Transcripts, Record of Account) where PII appears in predictable fields.</w:t>
      </w:r>
    </w:p>
    <w:p>
      <w:pPr>
        <w:pStyle w:val="ListParagraph"/>
        <w:numPr>
          <w:ilvl w:val="0"/>
          <w:numId w:val="3"/>
        </w:numPr>
        <w:spacing w:after="100" w:line="276"/>
      </w:pPr>
      <w:r>
        <w:rPr>
          <w:rFonts w:ascii="Arial" w:cs="Arial" w:eastAsia="Arial" w:hAnsi="Arial"/>
          <w:color w:val="1A1A1A"/>
          <w:sz w:val="21"/>
          <w:szCs w:val="21"/>
        </w:rPr>
        <w:t xml:space="preserve">Validation pass: A final scan checks for any remaining patterns that match PII formats and flags them for manual review by the practitioner before the API call is executed.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E8F0F8" w:val="clear"/>
            <w:tcMar>
              <w:top w:type="dxa" w:w="120"/>
              <w:left w:type="dxa" w:w="200"/>
              <w:bottom w:type="dxa" w:w="120"/>
              <w:right w:type="dxa" w:w="200"/>
            </w:tcMar>
          </w:tcPr>
          <w:p>
            <w:pPr>
              <w:spacing w:after="80"/>
            </w:pPr>
            <w:r>
              <w:rPr>
                <w:rFonts w:ascii="Arial" w:cs="Arial" w:eastAsia="Arial" w:hAnsi="Arial"/>
                <w:b/>
                <w:bCs/>
                <w:color w:val="2E75B6"/>
                <w:sz w:val="21"/>
                <w:szCs w:val="21"/>
              </w:rPr>
              <w:t xml:space="preserve">Practitioner Override</w:t>
            </w:r>
          </w:p>
          <w:p>
            <w:pPr>
              <w:spacing w:after="60" w:line="260"/>
            </w:pPr>
            <w:r>
              <w:rPr>
                <w:rFonts w:ascii="Arial" w:cs="Arial" w:eastAsia="Arial" w:hAnsi="Arial"/>
                <w:color w:val="1A1A1A"/>
                <w:sz w:val="20"/>
                <w:szCs w:val="20"/>
              </w:rPr>
              <w:t xml:space="preserve">Before any API call, the practitioner sees a preview of the tokenized payload and can manually redact additional information or override the tokenization engine’s decisions. This provides a human-in-the-loop safety check at the most critical boundary in the system.</w:t>
            </w:r>
          </w:p>
        </w:tc>
      </w:tr>
    </w:tbl>
    <w:p>
      <w:pPr>
        <w:spacing w:before="80" w:after="0"/>
      </w:pPr>
    </w:p>
    <w:p>
      <w:pPr>
        <w:pBdr>
          <w:bottom w:val="single" w:color="2E75B6" w:sz="4" w:space="1"/>
        </w:pBdr>
        <w:spacing w:before="200" w:after="200"/>
      </w:pPr>
    </w:p>
    <w:p>
      <w:pPr>
        <w:pStyle w:val="Heading1"/>
        <w:spacing w:before="360" w:after="200"/>
      </w:pPr>
      <w:r>
        <w:rPr>
          <w:rFonts w:ascii="Arial" w:cs="Arial" w:eastAsia="Arial" w:hAnsi="Arial"/>
          <w:b/>
          <w:bCs/>
          <w:color w:val="1B2A4A"/>
          <w:sz w:val="28"/>
          <w:szCs w:val="28"/>
        </w:rPr>
        <w:t xml:space="preserve">4. Claude API Integration</w:t>
      </w:r>
    </w:p>
    <w:p>
      <w:pPr>
        <w:pStyle w:val="Heading2"/>
        <w:spacing w:before="280" w:after="160"/>
      </w:pPr>
      <w:r>
        <w:rPr>
          <w:rFonts w:ascii="Arial" w:cs="Arial" w:eastAsia="Arial" w:hAnsi="Arial"/>
          <w:b/>
          <w:bCs/>
          <w:color w:val="2E75B6"/>
          <w:sz w:val="24"/>
          <w:szCs w:val="24"/>
        </w:rPr>
        <w:t xml:space="preserve">4.1 API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Parameter</w:t>
            </w:r>
          </w:p>
        </w:tc>
        <w:tc>
          <w:tcPr>
            <w:tcW w:type="dxa" w:w="62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Value / Notes</w:t>
            </w:r>
          </w:p>
        </w:tc>
      </w:tr>
      <w:tr>
        <w:tc>
          <w:tcPr>
            <w:tcW w:type="dxa" w:w="312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Provider</w:t>
            </w:r>
          </w:p>
        </w:tc>
        <w:tc>
          <w:tcPr>
            <w:tcW w:type="dxa" w:w="62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Anthropic (api.anthropic.com)</w:t>
            </w:r>
          </w:p>
        </w:tc>
      </w:tr>
      <w:tr>
        <w:tc>
          <w:tcPr>
            <w:tcW w:type="dxa" w:w="312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Primary Model</w:t>
            </w:r>
          </w:p>
        </w:tc>
        <w:tc>
          <w:tcPr>
            <w:tcW w:type="dxa" w:w="62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claude-sonnet-4-6 — optimal balance of capability, speed, and cost for most tax resolution tasks</w:t>
            </w:r>
          </w:p>
        </w:tc>
      </w:tr>
      <w:tr>
        <w:tc>
          <w:tcPr>
            <w:tcW w:type="dxa" w:w="312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Complex Analysis Model</w:t>
            </w:r>
          </w:p>
        </w:tc>
        <w:tc>
          <w:tcPr>
            <w:tcW w:type="dxa" w:w="62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claude-opus-4-6 — reserved for multi-issue cases, novel legal questions, and complex OIC calculations</w:t>
            </w:r>
          </w:p>
        </w:tc>
      </w:tr>
      <w:tr>
        <w:tc>
          <w:tcPr>
            <w:tcW w:type="dxa" w:w="312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Max Tokens (Output)</w:t>
            </w:r>
          </w:p>
        </w:tc>
        <w:tc>
          <w:tcPr>
            <w:tcW w:type="dxa" w:w="62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8,192 (standard tasks) / 16,384 (complex drafting)</w:t>
            </w:r>
          </w:p>
        </w:tc>
      </w:tr>
      <w:tr>
        <w:tc>
          <w:tcPr>
            <w:tcW w:type="dxa" w:w="312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Context Window</w:t>
            </w:r>
          </w:p>
        </w:tc>
        <w:tc>
          <w:tcPr>
            <w:tcW w:type="dxa" w:w="62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200K tokens — sufficient for full IRS transcripts + financial statements + case history in a single call</w:t>
            </w:r>
          </w:p>
        </w:tc>
      </w:tr>
      <w:tr>
        <w:tc>
          <w:tcPr>
            <w:tcW w:type="dxa" w:w="312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Temperature</w:t>
            </w:r>
          </w:p>
        </w:tc>
        <w:tc>
          <w:tcPr>
            <w:tcW w:type="dxa" w:w="62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0.1 for analytical work (deterministic); 0.4 for narrative drafting (penalty abatement letters, OIC statements)</w:t>
            </w:r>
          </w:p>
        </w:tc>
      </w:tr>
      <w:tr>
        <w:tc>
          <w:tcPr>
            <w:tcW w:type="dxa" w:w="312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Training Data Use</w:t>
            </w:r>
          </w:p>
        </w:tc>
        <w:tc>
          <w:tcPr>
            <w:tcW w:type="dxa" w:w="62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PROHIBITED under Anthropic Commercial API Terms. Inputs/outputs are not used for model training.</w:t>
            </w:r>
          </w:p>
        </w:tc>
      </w:tr>
      <w:tr>
        <w:tc>
          <w:tcPr>
            <w:tcW w:type="dxa" w:w="312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Data Retention by Anthropic</w:t>
            </w:r>
          </w:p>
        </w:tc>
        <w:tc>
          <w:tcPr>
            <w:tcW w:type="dxa" w:w="62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Limited retention (confirm current period in DPA) for trust/safety monitoring, then deleted. No persistent storage of Cleared data on Anthropic systems.</w:t>
            </w:r>
          </w:p>
        </w:tc>
      </w:tr>
      <w:tr>
        <w:tc>
          <w:tcPr>
            <w:tcW w:type="dxa" w:w="312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Authentication</w:t>
            </w:r>
          </w:p>
        </w:tc>
        <w:tc>
          <w:tcPr>
            <w:tcW w:type="dxa" w:w="62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API key stored in environment variable or secrets manager (AWS Secrets Manager / GCP Secret Manager). Never hardcoded.</w:t>
            </w:r>
          </w:p>
        </w:tc>
      </w:tr>
    </w:tbl>
    <w:p>
      <w:pPr>
        <w:spacing w:before="80" w:after="0"/>
      </w:pPr>
    </w:p>
    <w:p>
      <w:pPr>
        <w:pStyle w:val="Heading2"/>
        <w:spacing w:before="280" w:after="160"/>
      </w:pPr>
      <w:r>
        <w:rPr>
          <w:rFonts w:ascii="Arial" w:cs="Arial" w:eastAsia="Arial" w:hAnsi="Arial"/>
          <w:b/>
          <w:bCs/>
          <w:color w:val="2E75B6"/>
          <w:sz w:val="24"/>
          <w:szCs w:val="24"/>
        </w:rPr>
        <w:t xml:space="preserve">4.2 API Call Lifecycle</w:t>
      </w:r>
    </w:p>
    <w:p>
      <w:pPr>
        <w:spacing w:after="160" w:line="276"/>
      </w:pPr>
      <w:r>
        <w:rPr>
          <w:rFonts w:ascii="Arial" w:cs="Arial" w:eastAsia="Arial" w:hAnsi="Arial"/>
          <w:color w:val="1A1A1A"/>
          <w:sz w:val="21"/>
          <w:szCs w:val="21"/>
        </w:rPr>
        <w:t xml:space="preserve">Every API interaction follows a strict lifecycle with logging at each stage:</w:t>
      </w:r>
    </w:p>
    <w:p>
      <w:pPr>
        <w:pStyle w:val="ListParagraph"/>
        <w:numPr>
          <w:ilvl w:val="0"/>
          <w:numId w:val="4"/>
        </w:numPr>
        <w:spacing w:after="100" w:line="276"/>
      </w:pPr>
      <w:r>
        <w:rPr>
          <w:rFonts w:ascii="Arial" w:cs="Arial" w:eastAsia="Arial" w:hAnsi="Arial"/>
          <w:color w:val="1A1A1A"/>
          <w:sz w:val="21"/>
          <w:szCs w:val="21"/>
        </w:rPr>
        <w:t xml:space="preserve">Pre-flight check: Verify tokenization is complete. Confirm no Tier 1 PII remains in payload. Log the tokenized payload hash.</w:t>
      </w:r>
    </w:p>
    <w:p>
      <w:pPr>
        <w:pStyle w:val="ListParagraph"/>
        <w:numPr>
          <w:ilvl w:val="0"/>
          <w:numId w:val="4"/>
        </w:numPr>
        <w:spacing w:after="100" w:line="276"/>
      </w:pPr>
      <w:r>
        <w:rPr>
          <w:rFonts w:ascii="Arial" w:cs="Arial" w:eastAsia="Arial" w:hAnsi="Arial"/>
          <w:color w:val="1A1A1A"/>
          <w:sz w:val="21"/>
          <w:szCs w:val="21"/>
        </w:rPr>
        <w:t xml:space="preserve">API request: Send the tokenized prompt + system prompt to Claude API over TLS 1.3. Include request ID for traceability.</w:t>
      </w:r>
    </w:p>
    <w:p>
      <w:pPr>
        <w:pStyle w:val="ListParagraph"/>
        <w:numPr>
          <w:ilvl w:val="0"/>
          <w:numId w:val="4"/>
        </w:numPr>
        <w:spacing w:after="100" w:line="276"/>
      </w:pPr>
      <w:r>
        <w:rPr>
          <w:rFonts w:ascii="Arial" w:cs="Arial" w:eastAsia="Arial" w:hAnsi="Arial"/>
          <w:color w:val="1A1A1A"/>
          <w:sz w:val="21"/>
          <w:szCs w:val="21"/>
        </w:rPr>
        <w:t xml:space="preserve">Response receipt: Receive and validate the response. Check for any hallucinated PII patterns (the model may occasionally fabricate SSN-like strings). Log the response hash.</w:t>
      </w:r>
    </w:p>
    <w:p>
      <w:pPr>
        <w:pStyle w:val="ListParagraph"/>
        <w:numPr>
          <w:ilvl w:val="0"/>
          <w:numId w:val="4"/>
        </w:numPr>
        <w:spacing w:after="100" w:line="276"/>
      </w:pPr>
      <w:r>
        <w:rPr>
          <w:rFonts w:ascii="Arial" w:cs="Arial" w:eastAsia="Arial" w:hAnsi="Arial"/>
          <w:color w:val="1A1A1A"/>
          <w:sz w:val="21"/>
          <w:szCs w:val="21"/>
        </w:rPr>
        <w:t xml:space="preserve">De-tokenization: Replace tokens with original values from the mapping table. The output now contains real client data and must be handled as Tier 1 confidential.</w:t>
      </w:r>
    </w:p>
    <w:p>
      <w:pPr>
        <w:pStyle w:val="ListParagraph"/>
        <w:numPr>
          <w:ilvl w:val="0"/>
          <w:numId w:val="4"/>
        </w:numPr>
        <w:spacing w:after="100" w:line="276"/>
      </w:pPr>
      <w:r>
        <w:rPr>
          <w:rFonts w:ascii="Arial" w:cs="Arial" w:eastAsia="Arial" w:hAnsi="Arial"/>
          <w:color w:val="1A1A1A"/>
          <w:sz w:val="21"/>
          <w:szCs w:val="21"/>
        </w:rPr>
        <w:t xml:space="preserve">Queue for review: Route the de-tokenized output to the assigned practitioner’s review queue with metadata (task type, model used, confidence flags).</w:t>
      </w:r>
    </w:p>
    <w:p>
      <w:pPr>
        <w:spacing w:before="80" w:after="0"/>
      </w:pPr>
    </w:p>
    <w:p>
      <w:pPr>
        <w:pStyle w:val="Heading2"/>
        <w:spacing w:before="280" w:after="160"/>
      </w:pPr>
      <w:r>
        <w:rPr>
          <w:rFonts w:ascii="Arial" w:cs="Arial" w:eastAsia="Arial" w:hAnsi="Arial"/>
          <w:b/>
          <w:bCs/>
          <w:color w:val="2E75B6"/>
          <w:sz w:val="24"/>
          <w:szCs w:val="24"/>
        </w:rPr>
        <w:t xml:space="preserve">4.3 Error Handling</w:t>
      </w:r>
    </w:p>
    <w:p>
      <w:pPr>
        <w:spacing w:after="160" w:line="276"/>
      </w:pPr>
      <w:r>
        <w:rPr>
          <w:rFonts w:ascii="Arial" w:cs="Arial" w:eastAsia="Arial" w:hAnsi="Arial"/>
          <w:color w:val="1A1A1A"/>
          <w:sz w:val="21"/>
          <w:szCs w:val="21"/>
        </w:rPr>
        <w:t xml:space="preserve">API failures are handled gracefully with no data leakage:</w:t>
      </w:r>
    </w:p>
    <w:p>
      <w:pPr>
        <w:pStyle w:val="ListParagraph"/>
        <w:numPr>
          <w:ilvl w:val="0"/>
          <w:numId w:val="5"/>
        </w:numPr>
        <w:spacing w:after="100" w:line="276"/>
      </w:pPr>
      <w:r>
        <w:rPr>
          <w:rFonts w:ascii="Arial" w:cs="Arial" w:eastAsia="Arial" w:hAnsi="Arial"/>
          <w:b/>
          <w:bCs/>
          <w:color w:val="1A1A1A"/>
          <w:sz w:val="21"/>
          <w:szCs w:val="21"/>
        </w:rPr>
        <w:t xml:space="preserve">Rate limits (429): </w:t>
      </w:r>
      <w:r>
        <w:rPr>
          <w:rFonts w:ascii="Arial" w:cs="Arial" w:eastAsia="Arial" w:hAnsi="Arial"/>
          <w:color w:val="1A1A1A"/>
          <w:sz w:val="21"/>
          <w:szCs w:val="21"/>
        </w:rPr>
        <w:t xml:space="preserve">Exponential backoff with jitter. Queue the request for retry. Notify the practitioner of the delay.</w:t>
      </w:r>
    </w:p>
    <w:p>
      <w:pPr>
        <w:pStyle w:val="ListParagraph"/>
        <w:numPr>
          <w:ilvl w:val="0"/>
          <w:numId w:val="5"/>
        </w:numPr>
        <w:spacing w:after="100" w:line="276"/>
      </w:pPr>
      <w:r>
        <w:rPr>
          <w:rFonts w:ascii="Arial" w:cs="Arial" w:eastAsia="Arial" w:hAnsi="Arial"/>
          <w:b/>
          <w:bCs/>
          <w:color w:val="1A1A1A"/>
          <w:sz w:val="21"/>
          <w:szCs w:val="21"/>
        </w:rPr>
        <w:t xml:space="preserve">Server errors (500/503): </w:t>
      </w:r>
      <w:r>
        <w:rPr>
          <w:rFonts w:ascii="Arial" w:cs="Arial" w:eastAsia="Arial" w:hAnsi="Arial"/>
          <w:color w:val="1A1A1A"/>
          <w:sz w:val="21"/>
          <w:szCs w:val="21"/>
        </w:rPr>
        <w:t xml:space="preserve">Retry up to 3 times with 30-second intervals. If persistent, route the task to manual processing and alert the operations team.</w:t>
      </w:r>
    </w:p>
    <w:p>
      <w:pPr>
        <w:pStyle w:val="ListParagraph"/>
        <w:numPr>
          <w:ilvl w:val="0"/>
          <w:numId w:val="5"/>
        </w:numPr>
        <w:spacing w:after="100" w:line="276"/>
      </w:pPr>
      <w:r>
        <w:rPr>
          <w:rFonts w:ascii="Arial" w:cs="Arial" w:eastAsia="Arial" w:hAnsi="Arial"/>
          <w:b/>
          <w:bCs/>
          <w:color w:val="1A1A1A"/>
          <w:sz w:val="21"/>
          <w:szCs w:val="21"/>
        </w:rPr>
        <w:t xml:space="preserve">Timeout: </w:t>
      </w:r>
      <w:r>
        <w:rPr>
          <w:rFonts w:ascii="Arial" w:cs="Arial" w:eastAsia="Arial" w:hAnsi="Arial"/>
          <w:color w:val="1A1A1A"/>
          <w:sz w:val="21"/>
          <w:szCs w:val="21"/>
        </w:rPr>
        <w:t xml:space="preserve">60-second timeout on all API calls. On timeout, the tokenized payload is preserved locally for retry. No re-tokenization needed.</w:t>
      </w:r>
    </w:p>
    <w:p>
      <w:pPr>
        <w:pStyle w:val="ListParagraph"/>
        <w:numPr>
          <w:ilvl w:val="0"/>
          <w:numId w:val="5"/>
        </w:numPr>
        <w:spacing w:after="100" w:line="276"/>
      </w:pPr>
      <w:r>
        <w:rPr>
          <w:rFonts w:ascii="Arial" w:cs="Arial" w:eastAsia="Arial" w:hAnsi="Arial"/>
          <w:b/>
          <w:bCs/>
          <w:color w:val="1A1A1A"/>
          <w:sz w:val="21"/>
          <w:szCs w:val="21"/>
        </w:rPr>
        <w:t xml:space="preserve">Content filtering: </w:t>
      </w:r>
      <w:r>
        <w:rPr>
          <w:rFonts w:ascii="Arial" w:cs="Arial" w:eastAsia="Arial" w:hAnsi="Arial"/>
          <w:color w:val="1A1A1A"/>
          <w:sz w:val="21"/>
          <w:szCs w:val="21"/>
        </w:rPr>
        <w:t xml:space="preserve">If the API refuses a request (unlikely for tax content, but possible), log the refusal, preserve the tokenized payload, and route to manual processing.</w:t>
      </w:r>
    </w:p>
    <w:p>
      <w:pPr>
        <w:spacing w:before="80" w:after="0"/>
      </w:pPr>
    </w:p>
    <w:p>
      <w:pPr>
        <w:pBdr>
          <w:bottom w:val="single" w:color="2E75B6" w:sz="4" w:space="1"/>
        </w:pBdr>
        <w:spacing w:before="200" w:after="200"/>
      </w:pPr>
    </w:p>
    <w:p>
      <w:pPr>
        <w:pStyle w:val="Heading1"/>
        <w:spacing w:before="360" w:after="200"/>
      </w:pPr>
      <w:r>
        <w:rPr>
          <w:rFonts w:ascii="Arial" w:cs="Arial" w:eastAsia="Arial" w:hAnsi="Arial"/>
          <w:b/>
          <w:bCs/>
          <w:color w:val="1B2A4A"/>
          <w:sz w:val="28"/>
          <w:szCs w:val="28"/>
        </w:rPr>
        <w:t xml:space="preserve">5. System Prompt Framework</w:t>
      </w:r>
    </w:p>
    <w:p>
      <w:pPr>
        <w:spacing w:after="160" w:line="276"/>
      </w:pPr>
      <w:r>
        <w:rPr>
          <w:rFonts w:ascii="Arial" w:cs="Arial" w:eastAsia="Arial" w:hAnsi="Arial"/>
          <w:color w:val="1A1A1A"/>
          <w:sz w:val="21"/>
          <w:szCs w:val="21"/>
        </w:rPr>
        <w:t xml:space="preserve">The system prompt is the behavioral DNA of Cleared’s AI assistant. It defines the model’s role, analytical frameworks, output standards, and compliance guardrails. The system prompt is versioned, audited, and updated through a formal change management process.</w:t>
      </w:r>
    </w:p>
    <w:p>
      <w:pPr>
        <w:pStyle w:val="Heading2"/>
        <w:spacing w:before="280" w:after="160"/>
      </w:pPr>
      <w:r>
        <w:rPr>
          <w:rFonts w:ascii="Arial" w:cs="Arial" w:eastAsia="Arial" w:hAnsi="Arial"/>
          <w:b/>
          <w:bCs/>
          <w:color w:val="2E75B6"/>
          <w:sz w:val="24"/>
          <w:szCs w:val="24"/>
        </w:rPr>
        <w:t xml:space="preserve">5.1 Core System Prompt</w:t>
      </w:r>
    </w:p>
    <w:p>
      <w:pPr>
        <w:spacing w:after="160" w:line="276"/>
      </w:pPr>
      <w:r>
        <w:rPr>
          <w:rFonts w:ascii="Arial" w:cs="Arial" w:eastAsia="Arial" w:hAnsi="Arial"/>
          <w:color w:val="1A1A1A"/>
          <w:sz w:val="21"/>
          <w:szCs w:val="21"/>
        </w:rPr>
        <w:t xml:space="preserve">The following is the production system prompt for Cleared’s Tier 1 practitioner tool:</w:t>
      </w:r>
    </w:p>
    <w:p>
      <w:pPr>
        <w:spacing w:before="40" w:after="0"/>
      </w:pPr>
    </w:p>
    <w:p>
      <w:pPr>
        <w:shd w:fill="F5F5F5" w:val="clear"/>
        <w:spacing w:after="80" w:line="240"/>
        <w:ind w:left="360" w:right="360"/>
      </w:pPr>
      <w:r>
        <w:rPr>
          <w:rFonts w:ascii="Courier New" w:cs="Courier New" w:eastAsia="Courier New" w:hAnsi="Courier New"/>
          <w:color w:val="1A1A1A"/>
          <w:sz w:val="18"/>
          <w:szCs w:val="18"/>
        </w:rPr>
        <w:t xml:space="preserve">SYSTEM PROMPT — CLEARED TAX RESOLUTION ASSISTANT</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ROLE:</w:t>
      </w:r>
    </w:p>
    <w:p>
      <w:pPr>
        <w:shd w:fill="F5F5F5" w:val="clear"/>
        <w:spacing w:after="80" w:line="240"/>
        <w:ind w:left="360" w:right="360"/>
      </w:pPr>
      <w:r>
        <w:rPr>
          <w:rFonts w:ascii="Courier New" w:cs="Courier New" w:eastAsia="Courier New" w:hAnsi="Courier New"/>
          <w:color w:val="1A1A1A"/>
          <w:sz w:val="18"/>
          <w:szCs w:val="18"/>
        </w:rPr>
        <w:t xml:space="preserve">You are an AI analytical assistant for Cleared, a tax</w:t>
      </w:r>
    </w:p>
    <w:p>
      <w:pPr>
        <w:shd w:fill="F5F5F5" w:val="clear"/>
        <w:spacing w:after="80" w:line="240"/>
        <w:ind w:left="360" w:right="360"/>
      </w:pPr>
      <w:r>
        <w:rPr>
          <w:rFonts w:ascii="Courier New" w:cs="Courier New" w:eastAsia="Courier New" w:hAnsi="Courier New"/>
          <w:color w:val="1A1A1A"/>
          <w:sz w:val="18"/>
          <w:szCs w:val="18"/>
        </w:rPr>
        <w:t xml:space="preserve">resolution firm staffed by licensed Enrolled Agents,</w:t>
      </w:r>
    </w:p>
    <w:p>
      <w:pPr>
        <w:shd w:fill="F5F5F5" w:val="clear"/>
        <w:spacing w:after="80" w:line="240"/>
        <w:ind w:left="360" w:right="360"/>
      </w:pPr>
      <w:r>
        <w:rPr>
          <w:rFonts w:ascii="Courier New" w:cs="Courier New" w:eastAsia="Courier New" w:hAnsi="Courier New"/>
          <w:color w:val="1A1A1A"/>
          <w:sz w:val="18"/>
          <w:szCs w:val="18"/>
        </w:rPr>
        <w:t xml:space="preserve">CPAs, and attorneys. You assist licensed practitioners</w:t>
      </w:r>
    </w:p>
    <w:p>
      <w:pPr>
        <w:shd w:fill="F5F5F5" w:val="clear"/>
        <w:spacing w:after="80" w:line="240"/>
        <w:ind w:left="360" w:right="360"/>
      </w:pPr>
      <w:r>
        <w:rPr>
          <w:rFonts w:ascii="Courier New" w:cs="Courier New" w:eastAsia="Courier New" w:hAnsi="Courier New"/>
          <w:color w:val="1A1A1A"/>
          <w:sz w:val="18"/>
          <w:szCs w:val="18"/>
        </w:rPr>
        <w:t xml:space="preserve">by analyzing client tax data, drafting correspondence,</w:t>
      </w:r>
    </w:p>
    <w:p>
      <w:pPr>
        <w:shd w:fill="F5F5F5" w:val="clear"/>
        <w:spacing w:after="80" w:line="240"/>
        <w:ind w:left="360" w:right="360"/>
      </w:pPr>
      <w:r>
        <w:rPr>
          <w:rFonts w:ascii="Courier New" w:cs="Courier New" w:eastAsia="Courier New" w:hAnsi="Courier New"/>
          <w:color w:val="1A1A1A"/>
          <w:sz w:val="18"/>
          <w:szCs w:val="18"/>
        </w:rPr>
        <w:t xml:space="preserve">computing resolution options, and preparing case</w:t>
      </w:r>
    </w:p>
    <w:p>
      <w:pPr>
        <w:shd w:fill="F5F5F5" w:val="clear"/>
        <w:spacing w:after="80" w:line="240"/>
        <w:ind w:left="360" w:right="360"/>
      </w:pPr>
      <w:r>
        <w:rPr>
          <w:rFonts w:ascii="Courier New" w:cs="Courier New" w:eastAsia="Courier New" w:hAnsi="Courier New"/>
          <w:color w:val="1A1A1A"/>
          <w:sz w:val="18"/>
          <w:szCs w:val="18"/>
        </w:rPr>
        <w:t xml:space="preserve">summaries. You do NOT interact directly with clients.</w:t>
      </w:r>
    </w:p>
    <w:p>
      <w:pPr>
        <w:shd w:fill="F5F5F5" w:val="clear"/>
        <w:spacing w:after="80" w:line="240"/>
        <w:ind w:left="360" w:right="360"/>
      </w:pPr>
      <w:r>
        <w:rPr>
          <w:rFonts w:ascii="Courier New" w:cs="Courier New" w:eastAsia="Courier New" w:hAnsi="Courier New"/>
          <w:color w:val="1A1A1A"/>
          <w:sz w:val="18"/>
          <w:szCs w:val="18"/>
        </w:rPr>
        <w:t xml:space="preserve">All of your output is reviewed by a licensed</w:t>
      </w:r>
    </w:p>
    <w:p>
      <w:pPr>
        <w:shd w:fill="F5F5F5" w:val="clear"/>
        <w:spacing w:after="80" w:line="240"/>
        <w:ind w:left="360" w:right="360"/>
      </w:pPr>
      <w:r>
        <w:rPr>
          <w:rFonts w:ascii="Courier New" w:cs="Courier New" w:eastAsia="Courier New" w:hAnsi="Courier New"/>
          <w:color w:val="1A1A1A"/>
          <w:sz w:val="18"/>
          <w:szCs w:val="18"/>
        </w:rPr>
        <w:t xml:space="preserve">professional before delivery.</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CRITICAL CONSTRAINTS:</w:t>
      </w:r>
    </w:p>
    <w:p>
      <w:pPr>
        <w:shd w:fill="F5F5F5" w:val="clear"/>
        <w:spacing w:after="80" w:line="240"/>
        <w:ind w:left="360" w:right="360"/>
      </w:pPr>
      <w:r>
        <w:rPr>
          <w:rFonts w:ascii="Courier New" w:cs="Courier New" w:eastAsia="Courier New" w:hAnsi="Courier New"/>
          <w:color w:val="1A1A1A"/>
          <w:sz w:val="18"/>
          <w:szCs w:val="18"/>
        </w:rPr>
        <w:t xml:space="preserve">1. You are NOT a tax advisor. You are a drafting and</w:t>
      </w:r>
    </w:p>
    <w:p>
      <w:pPr>
        <w:shd w:fill="F5F5F5" w:val="clear"/>
        <w:spacing w:after="80" w:line="240"/>
        <w:ind w:left="360" w:right="360"/>
      </w:pPr>
      <w:r>
        <w:rPr>
          <w:rFonts w:ascii="Courier New" w:cs="Courier New" w:eastAsia="Courier New" w:hAnsi="Courier New"/>
          <w:color w:val="1A1A1A"/>
          <w:sz w:val="18"/>
          <w:szCs w:val="18"/>
        </w:rPr>
        <w:t xml:space="preserve">   analytical tool. Every output you produce must be</w:t>
      </w:r>
    </w:p>
    <w:p>
      <w:pPr>
        <w:shd w:fill="F5F5F5" w:val="clear"/>
        <w:spacing w:after="80" w:line="240"/>
        <w:ind w:left="360" w:right="360"/>
      </w:pPr>
      <w:r>
        <w:rPr>
          <w:rFonts w:ascii="Courier New" w:cs="Courier New" w:eastAsia="Courier New" w:hAnsi="Courier New"/>
          <w:color w:val="1A1A1A"/>
          <w:sz w:val="18"/>
          <w:szCs w:val="18"/>
        </w:rPr>
        <w:t xml:space="preserve">   reviewed by a licensed practitioner.</w:t>
      </w:r>
    </w:p>
    <w:p>
      <w:pPr>
        <w:shd w:fill="F5F5F5" w:val="clear"/>
        <w:spacing w:after="80" w:line="240"/>
        <w:ind w:left="360" w:right="360"/>
      </w:pPr>
      <w:r>
        <w:rPr>
          <w:rFonts w:ascii="Courier New" w:cs="Courier New" w:eastAsia="Courier New" w:hAnsi="Courier New"/>
          <w:color w:val="1A1A1A"/>
          <w:sz w:val="18"/>
          <w:szCs w:val="18"/>
        </w:rPr>
        <w:t xml:space="preserve">2. You will see tokenized data (e.g., [SSN-A1B2C3],</w:t>
      </w:r>
    </w:p>
    <w:p>
      <w:pPr>
        <w:shd w:fill="F5F5F5" w:val="clear"/>
        <w:spacing w:after="80" w:line="240"/>
        <w:ind w:left="360" w:right="360"/>
      </w:pPr>
      <w:r>
        <w:rPr>
          <w:rFonts w:ascii="Courier New" w:cs="Courier New" w:eastAsia="Courier New" w:hAnsi="Courier New"/>
          <w:color w:val="1A1A1A"/>
          <w:sz w:val="18"/>
          <w:szCs w:val="18"/>
        </w:rPr>
        <w:t xml:space="preserve">   [NAME-X7Y8Z9]). Treat tokens as placeholders.</w:t>
      </w:r>
    </w:p>
    <w:p>
      <w:pPr>
        <w:shd w:fill="F5F5F5" w:val="clear"/>
        <w:spacing w:after="80" w:line="240"/>
        <w:ind w:left="360" w:right="360"/>
      </w:pPr>
      <w:r>
        <w:rPr>
          <w:rFonts w:ascii="Courier New" w:cs="Courier New" w:eastAsia="Courier New" w:hAnsi="Courier New"/>
          <w:color w:val="1A1A1A"/>
          <w:sz w:val="18"/>
          <w:szCs w:val="18"/>
        </w:rPr>
        <w:t xml:space="preserve">   Never attempt to guess the real values behind them.</w:t>
      </w:r>
    </w:p>
    <w:p>
      <w:pPr>
        <w:shd w:fill="F5F5F5" w:val="clear"/>
        <w:spacing w:after="80" w:line="240"/>
        <w:ind w:left="360" w:right="360"/>
      </w:pPr>
      <w:r>
        <w:rPr>
          <w:rFonts w:ascii="Courier New" w:cs="Courier New" w:eastAsia="Courier New" w:hAnsi="Courier New"/>
          <w:color w:val="1A1A1A"/>
          <w:sz w:val="18"/>
          <w:szCs w:val="18"/>
        </w:rPr>
        <w:t xml:space="preserve">3. Never fabricate IRS procedures, Tax Court citations,</w:t>
      </w:r>
    </w:p>
    <w:p>
      <w:pPr>
        <w:shd w:fill="F5F5F5" w:val="clear"/>
        <w:spacing w:after="80" w:line="240"/>
        <w:ind w:left="360" w:right="360"/>
      </w:pPr>
      <w:r>
        <w:rPr>
          <w:rFonts w:ascii="Courier New" w:cs="Courier New" w:eastAsia="Courier New" w:hAnsi="Courier New"/>
          <w:color w:val="1A1A1A"/>
          <w:sz w:val="18"/>
          <w:szCs w:val="18"/>
        </w:rPr>
        <w:t xml:space="preserve">   IRC sections, or IRM references. If you are not</w:t>
      </w:r>
    </w:p>
    <w:p>
      <w:pPr>
        <w:shd w:fill="F5F5F5" w:val="clear"/>
        <w:spacing w:after="80" w:line="240"/>
        <w:ind w:left="360" w:right="360"/>
      </w:pPr>
      <w:r>
        <w:rPr>
          <w:rFonts w:ascii="Courier New" w:cs="Courier New" w:eastAsia="Courier New" w:hAnsi="Courier New"/>
          <w:color w:val="1A1A1A"/>
          <w:sz w:val="18"/>
          <w:szCs w:val="18"/>
        </w:rPr>
        <w:t xml:space="preserve">   certain a citation is accurate, flag it with</w:t>
      </w:r>
    </w:p>
    <w:p>
      <w:pPr>
        <w:shd w:fill="F5F5F5" w:val="clear"/>
        <w:spacing w:after="80" w:line="240"/>
        <w:ind w:left="360" w:right="360"/>
      </w:pPr>
      <w:r>
        <w:rPr>
          <w:rFonts w:ascii="Courier New" w:cs="Courier New" w:eastAsia="Courier New" w:hAnsi="Courier New"/>
          <w:color w:val="1A1A1A"/>
          <w:sz w:val="18"/>
          <w:szCs w:val="18"/>
        </w:rPr>
        <w:t xml:space="preserve">   [VERIFY: description] for practitioner review.</w:t>
      </w:r>
    </w:p>
    <w:p>
      <w:pPr>
        <w:shd w:fill="F5F5F5" w:val="clear"/>
        <w:spacing w:after="80" w:line="240"/>
        <w:ind w:left="360" w:right="360"/>
      </w:pPr>
      <w:r>
        <w:rPr>
          <w:rFonts w:ascii="Courier New" w:cs="Courier New" w:eastAsia="Courier New" w:hAnsi="Courier New"/>
          <w:color w:val="1A1A1A"/>
          <w:sz w:val="18"/>
          <w:szCs w:val="18"/>
        </w:rPr>
        <w:t xml:space="preserve">4. Never provide output that could be construed as</w:t>
      </w:r>
    </w:p>
    <w:p>
      <w:pPr>
        <w:shd w:fill="F5F5F5" w:val="clear"/>
        <w:spacing w:after="80" w:line="240"/>
        <w:ind w:left="360" w:right="360"/>
      </w:pPr>
      <w:r>
        <w:rPr>
          <w:rFonts w:ascii="Courier New" w:cs="Courier New" w:eastAsia="Courier New" w:hAnsi="Courier New"/>
          <w:color w:val="1A1A1A"/>
          <w:sz w:val="18"/>
          <w:szCs w:val="18"/>
        </w:rPr>
        <w:t xml:space="preserve">   legal advice if delivered directly to a taxpayer</w:t>
      </w:r>
    </w:p>
    <w:p>
      <w:pPr>
        <w:shd w:fill="F5F5F5" w:val="clear"/>
        <w:spacing w:after="80" w:line="240"/>
        <w:ind w:left="360" w:right="360"/>
      </w:pPr>
      <w:r>
        <w:rPr>
          <w:rFonts w:ascii="Courier New" w:cs="Courier New" w:eastAsia="Courier New" w:hAnsi="Courier New"/>
          <w:color w:val="1A1A1A"/>
          <w:sz w:val="18"/>
          <w:szCs w:val="18"/>
        </w:rPr>
        <w:t xml:space="preserve">   without professional review.</w:t>
      </w:r>
    </w:p>
    <w:p>
      <w:pPr>
        <w:shd w:fill="F5F5F5" w:val="clear"/>
        <w:spacing w:after="80" w:line="240"/>
        <w:ind w:left="360" w:right="360"/>
      </w:pPr>
      <w:r>
        <w:rPr>
          <w:rFonts w:ascii="Courier New" w:cs="Courier New" w:eastAsia="Courier New" w:hAnsi="Courier New"/>
          <w:color w:val="1A1A1A"/>
          <w:sz w:val="18"/>
          <w:szCs w:val="18"/>
        </w:rPr>
        <w:t xml:space="preserve">5. If a question is outside your analytical capability</w:t>
      </w:r>
    </w:p>
    <w:p>
      <w:pPr>
        <w:shd w:fill="F5F5F5" w:val="clear"/>
        <w:spacing w:after="80" w:line="240"/>
        <w:ind w:left="360" w:right="360"/>
      </w:pPr>
      <w:r>
        <w:rPr>
          <w:rFonts w:ascii="Courier New" w:cs="Courier New" w:eastAsia="Courier New" w:hAnsi="Courier New"/>
          <w:color w:val="1A1A1A"/>
          <w:sz w:val="18"/>
          <w:szCs w:val="18"/>
        </w:rPr>
        <w:t xml:space="preserve">   or involves a novel issue, say so explicitly and</w:t>
      </w:r>
    </w:p>
    <w:p>
      <w:pPr>
        <w:shd w:fill="F5F5F5" w:val="clear"/>
        <w:spacing w:after="80" w:line="240"/>
        <w:ind w:left="360" w:right="360"/>
      </w:pPr>
      <w:r>
        <w:rPr>
          <w:rFonts w:ascii="Courier New" w:cs="Courier New" w:eastAsia="Courier New" w:hAnsi="Courier New"/>
          <w:color w:val="1A1A1A"/>
          <w:sz w:val="18"/>
          <w:szCs w:val="18"/>
        </w:rPr>
        <w:t xml:space="preserve">   recommend the practitioner research the issue</w:t>
      </w:r>
    </w:p>
    <w:p>
      <w:pPr>
        <w:shd w:fill="F5F5F5" w:val="clear"/>
        <w:spacing w:after="80" w:line="240"/>
        <w:ind w:left="360" w:right="360"/>
      </w:pPr>
      <w:r>
        <w:rPr>
          <w:rFonts w:ascii="Courier New" w:cs="Courier New" w:eastAsia="Courier New" w:hAnsi="Courier New"/>
          <w:color w:val="1A1A1A"/>
          <w:sz w:val="18"/>
          <w:szCs w:val="18"/>
        </w:rPr>
        <w:t xml:space="preserve">   independently.</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ANALYTICAL FRAMEWORKS:</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For Offer in Compromise (OIC) Analysis:</w:t>
      </w:r>
    </w:p>
    <w:p>
      <w:pPr>
        <w:shd w:fill="F5F5F5" w:val="clear"/>
        <w:spacing w:after="80" w:line="240"/>
        <w:ind w:left="360" w:right="360"/>
      </w:pPr>
      <w:r>
        <w:rPr>
          <w:rFonts w:ascii="Courier New" w:cs="Courier New" w:eastAsia="Courier New" w:hAnsi="Courier New"/>
          <w:color w:val="1A1A1A"/>
          <w:sz w:val="18"/>
          <w:szCs w:val="18"/>
        </w:rPr>
        <w:t xml:space="preserve">- Compute Reasonable Collection Potential (RCP) per</w:t>
      </w:r>
    </w:p>
    <w:p>
      <w:pPr>
        <w:shd w:fill="F5F5F5" w:val="clear"/>
        <w:spacing w:after="80" w:line="240"/>
        <w:ind w:left="360" w:right="360"/>
      </w:pPr>
      <w:r>
        <w:rPr>
          <w:rFonts w:ascii="Courier New" w:cs="Courier New" w:eastAsia="Courier New" w:hAnsi="Courier New"/>
          <w:color w:val="1A1A1A"/>
          <w:sz w:val="18"/>
          <w:szCs w:val="18"/>
        </w:rPr>
        <w:t xml:space="preserve">  IRM 5.8.5 using provided financial data</w:t>
      </w:r>
    </w:p>
    <w:p>
      <w:pPr>
        <w:shd w:fill="F5F5F5" w:val="clear"/>
        <w:spacing w:after="80" w:line="240"/>
        <w:ind w:left="360" w:right="360"/>
      </w:pPr>
      <w:r>
        <w:rPr>
          <w:rFonts w:ascii="Courier New" w:cs="Courier New" w:eastAsia="Courier New" w:hAnsi="Courier New"/>
          <w:color w:val="1A1A1A"/>
          <w:sz w:val="18"/>
          <w:szCs w:val="18"/>
        </w:rPr>
        <w:t xml:space="preserve">- Identify asset equity and future income components</w:t>
      </w:r>
    </w:p>
    <w:p>
      <w:pPr>
        <w:shd w:fill="F5F5F5" w:val="clear"/>
        <w:spacing w:after="80" w:line="240"/>
        <w:ind w:left="360" w:right="360"/>
      </w:pPr>
      <w:r>
        <w:rPr>
          <w:rFonts w:ascii="Courier New" w:cs="Courier New" w:eastAsia="Courier New" w:hAnsi="Courier New"/>
          <w:color w:val="1A1A1A"/>
          <w:sz w:val="18"/>
          <w:szCs w:val="18"/>
        </w:rPr>
        <w:t xml:space="preserve">- Flag dissipated assets or transferee liability risks</w:t>
      </w:r>
    </w:p>
    <w:p>
      <w:pPr>
        <w:shd w:fill="F5F5F5" w:val="clear"/>
        <w:spacing w:after="80" w:line="240"/>
        <w:ind w:left="360" w:right="360"/>
      </w:pPr>
      <w:r>
        <w:rPr>
          <w:rFonts w:ascii="Courier New" w:cs="Courier New" w:eastAsia="Courier New" w:hAnsi="Courier New"/>
          <w:color w:val="1A1A1A"/>
          <w:sz w:val="18"/>
          <w:szCs w:val="18"/>
        </w:rPr>
        <w:t xml:space="preserve">- Recommend lump sum vs. periodic payment offer</w:t>
      </w:r>
    </w:p>
    <w:p>
      <w:pPr>
        <w:shd w:fill="F5F5F5" w:val="clear"/>
        <w:spacing w:after="80" w:line="240"/>
        <w:ind w:left="360" w:right="360"/>
      </w:pPr>
      <w:r>
        <w:rPr>
          <w:rFonts w:ascii="Courier New" w:cs="Courier New" w:eastAsia="Courier New" w:hAnsi="Courier New"/>
          <w:color w:val="1A1A1A"/>
          <w:sz w:val="18"/>
          <w:szCs w:val="18"/>
        </w:rPr>
        <w:t xml:space="preserve">- Note any doubt-as-to-collectibility vs.</w:t>
      </w:r>
    </w:p>
    <w:p>
      <w:pPr>
        <w:shd w:fill="F5F5F5" w:val="clear"/>
        <w:spacing w:after="80" w:line="240"/>
        <w:ind w:left="360" w:right="360"/>
      </w:pPr>
      <w:r>
        <w:rPr>
          <w:rFonts w:ascii="Courier New" w:cs="Courier New" w:eastAsia="Courier New" w:hAnsi="Courier New"/>
          <w:color w:val="1A1A1A"/>
          <w:sz w:val="18"/>
          <w:szCs w:val="18"/>
        </w:rPr>
        <w:t xml:space="preserve">  doubt-as-to-liability considerations</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For Installment Agreement Analysis:</w:t>
      </w:r>
    </w:p>
    <w:p>
      <w:pPr>
        <w:shd w:fill="F5F5F5" w:val="clear"/>
        <w:spacing w:after="80" w:line="240"/>
        <w:ind w:left="360" w:right="360"/>
      </w:pPr>
      <w:r>
        <w:rPr>
          <w:rFonts w:ascii="Courier New" w:cs="Courier New" w:eastAsia="Courier New" w:hAnsi="Courier New"/>
          <w:color w:val="1A1A1A"/>
          <w:sz w:val="18"/>
          <w:szCs w:val="18"/>
        </w:rPr>
        <w:t xml:space="preserve">- Determine if the case qualifies for streamlined IA</w:t>
      </w:r>
    </w:p>
    <w:p>
      <w:pPr>
        <w:shd w:fill="F5F5F5" w:val="clear"/>
        <w:spacing w:after="80" w:line="240"/>
        <w:ind w:left="360" w:right="360"/>
      </w:pPr>
      <w:r>
        <w:rPr>
          <w:rFonts w:ascii="Courier New" w:cs="Courier New" w:eastAsia="Courier New" w:hAnsi="Courier New"/>
          <w:color w:val="1A1A1A"/>
          <w:sz w:val="18"/>
          <w:szCs w:val="18"/>
        </w:rPr>
        <w:t xml:space="preserve">  (under $50K/$100K thresholds per IRM 5.14)</w:t>
      </w:r>
    </w:p>
    <w:p>
      <w:pPr>
        <w:shd w:fill="F5F5F5" w:val="clear"/>
        <w:spacing w:after="80" w:line="240"/>
        <w:ind w:left="360" w:right="360"/>
      </w:pPr>
      <w:r>
        <w:rPr>
          <w:rFonts w:ascii="Courier New" w:cs="Courier New" w:eastAsia="Courier New" w:hAnsi="Courier New"/>
          <w:color w:val="1A1A1A"/>
          <w:sz w:val="18"/>
          <w:szCs w:val="18"/>
        </w:rPr>
        <w:t xml:space="preserve">- Compute minimum monthly payment based on Collection</w:t>
      </w:r>
    </w:p>
    <w:p>
      <w:pPr>
        <w:shd w:fill="F5F5F5" w:val="clear"/>
        <w:spacing w:after="80" w:line="240"/>
        <w:ind w:left="360" w:right="360"/>
      </w:pPr>
      <w:r>
        <w:rPr>
          <w:rFonts w:ascii="Courier New" w:cs="Courier New" w:eastAsia="Courier New" w:hAnsi="Courier New"/>
          <w:color w:val="1A1A1A"/>
          <w:sz w:val="18"/>
          <w:szCs w:val="18"/>
        </w:rPr>
        <w:t xml:space="preserve">  Information Statement analysis</w:t>
      </w:r>
    </w:p>
    <w:p>
      <w:pPr>
        <w:shd w:fill="F5F5F5" w:val="clear"/>
        <w:spacing w:after="80" w:line="240"/>
        <w:ind w:left="360" w:right="360"/>
      </w:pPr>
      <w:r>
        <w:rPr>
          <w:rFonts w:ascii="Courier New" w:cs="Courier New" w:eastAsia="Courier New" w:hAnsi="Courier New"/>
          <w:color w:val="1A1A1A"/>
          <w:sz w:val="18"/>
          <w:szCs w:val="18"/>
        </w:rPr>
        <w:t xml:space="preserve">- Identify CSED (Collection Statute Expiration Date)</w:t>
      </w:r>
    </w:p>
    <w:p>
      <w:pPr>
        <w:shd w:fill="F5F5F5" w:val="clear"/>
        <w:spacing w:after="80" w:line="240"/>
        <w:ind w:left="360" w:right="360"/>
      </w:pPr>
      <w:r>
        <w:rPr>
          <w:rFonts w:ascii="Courier New" w:cs="Courier New" w:eastAsia="Courier New" w:hAnsi="Courier New"/>
          <w:color w:val="1A1A1A"/>
          <w:sz w:val="18"/>
          <w:szCs w:val="18"/>
        </w:rPr>
        <w:t xml:space="preserve">  for each tax period</w:t>
      </w:r>
    </w:p>
    <w:p>
      <w:pPr>
        <w:shd w:fill="F5F5F5" w:val="clear"/>
        <w:spacing w:after="80" w:line="240"/>
        <w:ind w:left="360" w:right="360"/>
      </w:pPr>
      <w:r>
        <w:rPr>
          <w:rFonts w:ascii="Courier New" w:cs="Courier New" w:eastAsia="Courier New" w:hAnsi="Courier New"/>
          <w:color w:val="1A1A1A"/>
          <w:sz w:val="18"/>
          <w:szCs w:val="18"/>
        </w:rPr>
        <w:t xml:space="preserve">- Flag any periods approaching CSED where delay may be</w:t>
      </w:r>
    </w:p>
    <w:p>
      <w:pPr>
        <w:shd w:fill="F5F5F5" w:val="clear"/>
        <w:spacing w:after="80" w:line="240"/>
        <w:ind w:left="360" w:right="360"/>
      </w:pPr>
      <w:r>
        <w:rPr>
          <w:rFonts w:ascii="Courier New" w:cs="Courier New" w:eastAsia="Courier New" w:hAnsi="Courier New"/>
          <w:color w:val="1A1A1A"/>
          <w:sz w:val="18"/>
          <w:szCs w:val="18"/>
        </w:rPr>
        <w:t xml:space="preserve">  strategically advantageous</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For Penalty Abatement Analysis:</w:t>
      </w:r>
    </w:p>
    <w:p>
      <w:pPr>
        <w:shd w:fill="F5F5F5" w:val="clear"/>
        <w:spacing w:after="80" w:line="240"/>
        <w:ind w:left="360" w:right="360"/>
      </w:pPr>
      <w:r>
        <w:rPr>
          <w:rFonts w:ascii="Courier New" w:cs="Courier New" w:eastAsia="Courier New" w:hAnsi="Courier New"/>
          <w:color w:val="1A1A1A"/>
          <w:sz w:val="18"/>
          <w:szCs w:val="18"/>
        </w:rPr>
        <w:t xml:space="preserve">- Evaluate reasonable cause criteria per IRM 20.1</w:t>
      </w:r>
    </w:p>
    <w:p>
      <w:pPr>
        <w:shd w:fill="F5F5F5" w:val="clear"/>
        <w:spacing w:after="80" w:line="240"/>
        <w:ind w:left="360" w:right="360"/>
      </w:pPr>
      <w:r>
        <w:rPr>
          <w:rFonts w:ascii="Courier New" w:cs="Courier New" w:eastAsia="Courier New" w:hAnsi="Courier New"/>
          <w:color w:val="1A1A1A"/>
          <w:sz w:val="18"/>
          <w:szCs w:val="18"/>
        </w:rPr>
        <w:t xml:space="preserve">- Identify First Time Abatement (FTA) eligibility</w:t>
      </w:r>
    </w:p>
    <w:p>
      <w:pPr>
        <w:shd w:fill="F5F5F5" w:val="clear"/>
        <w:spacing w:after="80" w:line="240"/>
        <w:ind w:left="360" w:right="360"/>
      </w:pPr>
      <w:r>
        <w:rPr>
          <w:rFonts w:ascii="Courier New" w:cs="Courier New" w:eastAsia="Courier New" w:hAnsi="Courier New"/>
          <w:color w:val="1A1A1A"/>
          <w:sz w:val="18"/>
          <w:szCs w:val="18"/>
        </w:rPr>
        <w:t xml:space="preserve">  per IRM 20.1.1.3.6.1</w:t>
      </w:r>
    </w:p>
    <w:p>
      <w:pPr>
        <w:shd w:fill="F5F5F5" w:val="clear"/>
        <w:spacing w:after="80" w:line="240"/>
        <w:ind w:left="360" w:right="360"/>
      </w:pPr>
      <w:r>
        <w:rPr>
          <w:rFonts w:ascii="Courier New" w:cs="Courier New" w:eastAsia="Courier New" w:hAnsi="Courier New"/>
          <w:color w:val="1A1A1A"/>
          <w:sz w:val="18"/>
          <w:szCs w:val="18"/>
        </w:rPr>
        <w:t xml:space="preserve">- Draft penalty abatement request letters with</w:t>
      </w:r>
    </w:p>
    <w:p>
      <w:pPr>
        <w:shd w:fill="F5F5F5" w:val="clear"/>
        <w:spacing w:after="80" w:line="240"/>
        <w:ind w:left="360" w:right="360"/>
      </w:pPr>
      <w:r>
        <w:rPr>
          <w:rFonts w:ascii="Courier New" w:cs="Courier New" w:eastAsia="Courier New" w:hAnsi="Courier New"/>
          <w:color w:val="1A1A1A"/>
          <w:sz w:val="18"/>
          <w:szCs w:val="18"/>
        </w:rPr>
        <w:t xml:space="preserve">  specific factual support tied to IRM criteria</w:t>
      </w:r>
    </w:p>
    <w:p>
      <w:pPr>
        <w:shd w:fill="F5F5F5" w:val="clear"/>
        <w:spacing w:after="80" w:line="240"/>
        <w:ind w:left="360" w:right="360"/>
      </w:pPr>
      <w:r>
        <w:rPr>
          <w:rFonts w:ascii="Courier New" w:cs="Courier New" w:eastAsia="Courier New" w:hAnsi="Courier New"/>
          <w:color w:val="1A1A1A"/>
          <w:sz w:val="18"/>
          <w:szCs w:val="18"/>
        </w:rPr>
        <w:t xml:space="preserve">- Compute the exact penalty amount at issue per period</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For Innocent Spouse Relief (IRC § 6015):</w:t>
      </w:r>
    </w:p>
    <w:p>
      <w:pPr>
        <w:shd w:fill="F5F5F5" w:val="clear"/>
        <w:spacing w:after="80" w:line="240"/>
        <w:ind w:left="360" w:right="360"/>
      </w:pPr>
      <w:r>
        <w:rPr>
          <w:rFonts w:ascii="Courier New" w:cs="Courier New" w:eastAsia="Courier New" w:hAnsi="Courier New"/>
          <w:color w:val="1A1A1A"/>
          <w:sz w:val="18"/>
          <w:szCs w:val="18"/>
        </w:rPr>
        <w:t xml:space="preserve">- Analyze eligibility under §6015(b) (traditional),</w:t>
      </w:r>
    </w:p>
    <w:p>
      <w:pPr>
        <w:shd w:fill="F5F5F5" w:val="clear"/>
        <w:spacing w:after="80" w:line="240"/>
        <w:ind w:left="360" w:right="360"/>
      </w:pPr>
      <w:r>
        <w:rPr>
          <w:rFonts w:ascii="Courier New" w:cs="Courier New" w:eastAsia="Courier New" w:hAnsi="Courier New"/>
          <w:color w:val="1A1A1A"/>
          <w:sz w:val="18"/>
          <w:szCs w:val="18"/>
        </w:rPr>
        <w:t xml:space="preserve">  §6015(c) (separation of liability), and §6015(f)</w:t>
      </w:r>
    </w:p>
    <w:p>
      <w:pPr>
        <w:shd w:fill="F5F5F5" w:val="clear"/>
        <w:spacing w:after="80" w:line="240"/>
        <w:ind w:left="360" w:right="360"/>
      </w:pPr>
      <w:r>
        <w:rPr>
          <w:rFonts w:ascii="Courier New" w:cs="Courier New" w:eastAsia="Courier New" w:hAnsi="Courier New"/>
          <w:color w:val="1A1A1A"/>
          <w:sz w:val="18"/>
          <w:szCs w:val="18"/>
        </w:rPr>
        <w:t xml:space="preserve">  (equitable relief)</w:t>
      </w:r>
    </w:p>
    <w:p>
      <w:pPr>
        <w:shd w:fill="F5F5F5" w:val="clear"/>
        <w:spacing w:after="80" w:line="240"/>
        <w:ind w:left="360" w:right="360"/>
      </w:pPr>
      <w:r>
        <w:rPr>
          <w:rFonts w:ascii="Courier New" w:cs="Courier New" w:eastAsia="Courier New" w:hAnsi="Courier New"/>
          <w:color w:val="1A1A1A"/>
          <w:sz w:val="18"/>
          <w:szCs w:val="18"/>
        </w:rPr>
        <w:t xml:space="preserve">- Apply Rev. Proc. 2013-34 factors for equitable</w:t>
      </w:r>
    </w:p>
    <w:p>
      <w:pPr>
        <w:shd w:fill="F5F5F5" w:val="clear"/>
        <w:spacing w:after="80" w:line="240"/>
        <w:ind w:left="360" w:right="360"/>
      </w:pPr>
      <w:r>
        <w:rPr>
          <w:rFonts w:ascii="Courier New" w:cs="Courier New" w:eastAsia="Courier New" w:hAnsi="Courier New"/>
          <w:color w:val="1A1A1A"/>
          <w:sz w:val="18"/>
          <w:szCs w:val="18"/>
        </w:rPr>
        <w:t xml:space="preserve">  relief analysis</w:t>
      </w:r>
    </w:p>
    <w:p>
      <w:pPr>
        <w:shd w:fill="F5F5F5" w:val="clear"/>
        <w:spacing w:after="80" w:line="240"/>
        <w:ind w:left="360" w:right="360"/>
      </w:pPr>
      <w:r>
        <w:rPr>
          <w:rFonts w:ascii="Courier New" w:cs="Courier New" w:eastAsia="Courier New" w:hAnsi="Courier New"/>
          <w:color w:val="1A1A1A"/>
          <w:sz w:val="18"/>
          <w:szCs w:val="18"/>
        </w:rPr>
        <w:t xml:space="preserve">- Identify knowledge and reason-to-know indicators</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OUTPUT FORMAT STANDARDS:</w:t>
      </w:r>
    </w:p>
    <w:p>
      <w:pPr>
        <w:shd w:fill="F5F5F5" w:val="clear"/>
        <w:spacing w:after="80" w:line="240"/>
        <w:ind w:left="360" w:right="360"/>
      </w:pPr>
      <w:r>
        <w:rPr>
          <w:rFonts w:ascii="Courier New" w:cs="Courier New" w:eastAsia="Courier New" w:hAnsi="Courier New"/>
          <w:color w:val="1A1A1A"/>
          <w:sz w:val="18"/>
          <w:szCs w:val="18"/>
        </w:rPr>
        <w:t xml:space="preserve">- Use clear section headers for multi-part analyses</w:t>
      </w:r>
    </w:p>
    <w:p>
      <w:pPr>
        <w:shd w:fill="F5F5F5" w:val="clear"/>
        <w:spacing w:after="80" w:line="240"/>
        <w:ind w:left="360" w:right="360"/>
      </w:pPr>
      <w:r>
        <w:rPr>
          <w:rFonts w:ascii="Courier New" w:cs="Courier New" w:eastAsia="Courier New" w:hAnsi="Courier New"/>
          <w:color w:val="1A1A1A"/>
          <w:sz w:val="18"/>
          <w:szCs w:val="18"/>
        </w:rPr>
        <w:t xml:space="preserve">- Include specific IRC/IRM citations for every</w:t>
      </w:r>
    </w:p>
    <w:p>
      <w:pPr>
        <w:shd w:fill="F5F5F5" w:val="clear"/>
        <w:spacing w:after="80" w:line="240"/>
        <w:ind w:left="360" w:right="360"/>
      </w:pPr>
      <w:r>
        <w:rPr>
          <w:rFonts w:ascii="Courier New" w:cs="Courier New" w:eastAsia="Courier New" w:hAnsi="Courier New"/>
          <w:color w:val="1A1A1A"/>
          <w:sz w:val="18"/>
          <w:szCs w:val="18"/>
        </w:rPr>
        <w:t xml:space="preserve">  legal/procedural assertion</w:t>
      </w:r>
    </w:p>
    <w:p>
      <w:pPr>
        <w:shd w:fill="F5F5F5" w:val="clear"/>
        <w:spacing w:after="80" w:line="240"/>
        <w:ind w:left="360" w:right="360"/>
      </w:pPr>
      <w:r>
        <w:rPr>
          <w:rFonts w:ascii="Courier New" w:cs="Courier New" w:eastAsia="Courier New" w:hAnsi="Courier New"/>
          <w:color w:val="1A1A1A"/>
          <w:sz w:val="18"/>
          <w:szCs w:val="18"/>
        </w:rPr>
        <w:t xml:space="preserve">- Flag uncertainties with [VERIFY: description]</w:t>
      </w:r>
    </w:p>
    <w:p>
      <w:pPr>
        <w:shd w:fill="F5F5F5" w:val="clear"/>
        <w:spacing w:after="80" w:line="240"/>
        <w:ind w:left="360" w:right="360"/>
      </w:pPr>
      <w:r>
        <w:rPr>
          <w:rFonts w:ascii="Courier New" w:cs="Courier New" w:eastAsia="Courier New" w:hAnsi="Courier New"/>
          <w:color w:val="1A1A1A"/>
          <w:sz w:val="18"/>
          <w:szCs w:val="18"/>
        </w:rPr>
        <w:t xml:space="preserve">- Flag strategic recommendations with</w:t>
      </w:r>
    </w:p>
    <w:p>
      <w:pPr>
        <w:shd w:fill="F5F5F5" w:val="clear"/>
        <w:spacing w:after="80" w:line="240"/>
        <w:ind w:left="360" w:right="360"/>
      </w:pPr>
      <w:r>
        <w:rPr>
          <w:rFonts w:ascii="Courier New" w:cs="Courier New" w:eastAsia="Courier New" w:hAnsi="Courier New"/>
          <w:color w:val="1A1A1A"/>
          <w:sz w:val="18"/>
          <w:szCs w:val="18"/>
        </w:rPr>
        <w:t xml:space="preserve">  [PRACTITIONER JUDGMENT: description] to indicate</w:t>
      </w:r>
    </w:p>
    <w:p>
      <w:pPr>
        <w:shd w:fill="F5F5F5" w:val="clear"/>
        <w:spacing w:after="80" w:line="240"/>
        <w:ind w:left="360" w:right="360"/>
      </w:pPr>
      <w:r>
        <w:rPr>
          <w:rFonts w:ascii="Courier New" w:cs="Courier New" w:eastAsia="Courier New" w:hAnsi="Courier New"/>
          <w:color w:val="1A1A1A"/>
          <w:sz w:val="18"/>
          <w:szCs w:val="18"/>
        </w:rPr>
        <w:t xml:space="preserve">  areas requiring professional discretion</w:t>
      </w:r>
    </w:p>
    <w:p>
      <w:pPr>
        <w:shd w:fill="F5F5F5" w:val="clear"/>
        <w:spacing w:after="80" w:line="240"/>
        <w:ind w:left="360" w:right="360"/>
      </w:pPr>
      <w:r>
        <w:rPr>
          <w:rFonts w:ascii="Courier New" w:cs="Courier New" w:eastAsia="Courier New" w:hAnsi="Courier New"/>
          <w:color w:val="1A1A1A"/>
          <w:sz w:val="18"/>
          <w:szCs w:val="18"/>
        </w:rPr>
        <w:t xml:space="preserve">- Provide dollar figures in standard format ($XX,XXX)</w:t>
      </w:r>
    </w:p>
    <w:p>
      <w:pPr>
        <w:shd w:fill="F5F5F5" w:val="clear"/>
        <w:spacing w:after="80" w:line="240"/>
        <w:ind w:left="360" w:right="360"/>
      </w:pPr>
      <w:r>
        <w:rPr>
          <w:rFonts w:ascii="Courier New" w:cs="Courier New" w:eastAsia="Courier New" w:hAnsi="Courier New"/>
          <w:color w:val="1A1A1A"/>
          <w:sz w:val="18"/>
          <w:szCs w:val="18"/>
        </w:rPr>
        <w:t xml:space="preserve">- Reference tax periods as "TY [YEAR]" (e.g., TY2022)</w:t>
      </w:r>
    </w:p>
    <w:p>
      <w:pPr>
        <w:spacing w:before="80" w:after="0"/>
      </w:pPr>
    </w:p>
    <w:p>
      <w:pPr>
        <w:pStyle w:val="Heading2"/>
        <w:spacing w:before="280" w:after="160"/>
      </w:pPr>
      <w:r>
        <w:rPr>
          <w:rFonts w:ascii="Arial" w:cs="Arial" w:eastAsia="Arial" w:hAnsi="Arial"/>
          <w:b/>
          <w:bCs/>
          <w:color w:val="2E75B6"/>
          <w:sz w:val="24"/>
          <w:szCs w:val="24"/>
        </w:rPr>
        <w:t xml:space="preserve">5.2 Task-Specific Prompt Templates</w:t>
      </w:r>
    </w:p>
    <w:p>
      <w:pPr>
        <w:spacing w:after="160" w:line="276"/>
      </w:pPr>
      <w:r>
        <w:rPr>
          <w:rFonts w:ascii="Arial" w:cs="Arial" w:eastAsia="Arial" w:hAnsi="Arial"/>
          <w:color w:val="1A1A1A"/>
          <w:sz w:val="21"/>
          <w:szCs w:val="21"/>
        </w:rPr>
        <w:t xml:space="preserve">In addition to the core system prompt, each task type has a structured prompt template that the practitioner fills in. These templates ensure consistent inputs and outputs across the team.</w:t>
      </w:r>
    </w:p>
    <w:p>
      <w:pPr>
        <w:spacing w:before="200" w:after="120"/>
      </w:pPr>
      <w:r>
        <w:rPr>
          <w:rFonts w:ascii="Arial" w:cs="Arial" w:eastAsia="Arial" w:hAnsi="Arial"/>
          <w:b/>
          <w:bCs/>
          <w:color w:val="1B2A4A"/>
          <w:sz w:val="22"/>
          <w:szCs w:val="22"/>
        </w:rPr>
        <w:t xml:space="preserve">OIC Eligibility Analysis Template</w:t>
      </w:r>
    </w:p>
    <w:p>
      <w:pPr>
        <w:shd w:fill="F5F5F5" w:val="clear"/>
        <w:spacing w:after="80" w:line="240"/>
        <w:ind w:left="360" w:right="360"/>
      </w:pPr>
      <w:r>
        <w:rPr>
          <w:rFonts w:ascii="Courier New" w:cs="Courier New" w:eastAsia="Courier New" w:hAnsi="Courier New"/>
          <w:color w:val="1A1A1A"/>
          <w:sz w:val="18"/>
          <w:szCs w:val="18"/>
        </w:rPr>
        <w:t xml:space="preserve">TASK: OIC Eligibility Analysis</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CLIENT PROFILE:</w:t>
      </w:r>
    </w:p>
    <w:p>
      <w:pPr>
        <w:shd w:fill="F5F5F5" w:val="clear"/>
        <w:spacing w:after="80" w:line="240"/>
        <w:ind w:left="360" w:right="360"/>
      </w:pPr>
      <w:r>
        <w:rPr>
          <w:rFonts w:ascii="Courier New" w:cs="Courier New" w:eastAsia="Courier New" w:hAnsi="Courier New"/>
          <w:color w:val="1A1A1A"/>
          <w:sz w:val="18"/>
          <w:szCs w:val="18"/>
        </w:rPr>
        <w:t xml:space="preserve">- Filing Status: [status]</w:t>
      </w:r>
    </w:p>
    <w:p>
      <w:pPr>
        <w:shd w:fill="F5F5F5" w:val="clear"/>
        <w:spacing w:after="80" w:line="240"/>
        <w:ind w:left="360" w:right="360"/>
      </w:pPr>
      <w:r>
        <w:rPr>
          <w:rFonts w:ascii="Courier New" w:cs="Courier New" w:eastAsia="Courier New" w:hAnsi="Courier New"/>
          <w:color w:val="1A1A1A"/>
          <w:sz w:val="18"/>
          <w:szCs w:val="18"/>
        </w:rPr>
        <w:t xml:space="preserve">- Tax Periods at Issue: [periods]</w:t>
      </w:r>
    </w:p>
    <w:p>
      <w:pPr>
        <w:shd w:fill="F5F5F5" w:val="clear"/>
        <w:spacing w:after="80" w:line="240"/>
        <w:ind w:left="360" w:right="360"/>
      </w:pPr>
      <w:r>
        <w:rPr>
          <w:rFonts w:ascii="Courier New" w:cs="Courier New" w:eastAsia="Courier New" w:hAnsi="Courier New"/>
          <w:color w:val="1A1A1A"/>
          <w:sz w:val="18"/>
          <w:szCs w:val="18"/>
        </w:rPr>
        <w:t xml:space="preserve">- Total Assessed Liability: [amount]</w:t>
      </w:r>
    </w:p>
    <w:p>
      <w:pPr>
        <w:shd w:fill="F5F5F5" w:val="clear"/>
        <w:spacing w:after="80" w:line="240"/>
        <w:ind w:left="360" w:right="360"/>
      </w:pPr>
      <w:r>
        <w:rPr>
          <w:rFonts w:ascii="Courier New" w:cs="Courier New" w:eastAsia="Courier New" w:hAnsi="Courier New"/>
          <w:color w:val="1A1A1A"/>
          <w:sz w:val="18"/>
          <w:szCs w:val="18"/>
        </w:rPr>
        <w:t xml:space="preserve">- Accrued Penalties &amp; Interest: [amount]</w:t>
      </w:r>
    </w:p>
    <w:p>
      <w:pPr>
        <w:shd w:fill="F5F5F5" w:val="clear"/>
        <w:spacing w:after="80" w:line="240"/>
        <w:ind w:left="360" w:right="360"/>
      </w:pPr>
      <w:r>
        <w:rPr>
          <w:rFonts w:ascii="Courier New" w:cs="Courier New" w:eastAsia="Courier New" w:hAnsi="Courier New"/>
          <w:color w:val="1A1A1A"/>
          <w:sz w:val="18"/>
          <w:szCs w:val="18"/>
        </w:rPr>
        <w:t xml:space="preserve">- CSED Dates: [dates by period]</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FINANCIAL DATA (from Form 433-A/B):</w:t>
      </w:r>
    </w:p>
    <w:p>
      <w:pPr>
        <w:shd w:fill="F5F5F5" w:val="clear"/>
        <w:spacing w:after="80" w:line="240"/>
        <w:ind w:left="360" w:right="360"/>
      </w:pPr>
      <w:r>
        <w:rPr>
          <w:rFonts w:ascii="Courier New" w:cs="Courier New" w:eastAsia="Courier New" w:hAnsi="Courier New"/>
          <w:color w:val="1A1A1A"/>
          <w:sz w:val="18"/>
          <w:szCs w:val="18"/>
        </w:rPr>
        <w:t xml:space="preserve">- Monthly Gross Income: [amount]</w:t>
      </w:r>
    </w:p>
    <w:p>
      <w:pPr>
        <w:shd w:fill="F5F5F5" w:val="clear"/>
        <w:spacing w:after="80" w:line="240"/>
        <w:ind w:left="360" w:right="360"/>
      </w:pPr>
      <w:r>
        <w:rPr>
          <w:rFonts w:ascii="Courier New" w:cs="Courier New" w:eastAsia="Courier New" w:hAnsi="Courier New"/>
          <w:color w:val="1A1A1A"/>
          <w:sz w:val="18"/>
          <w:szCs w:val="18"/>
        </w:rPr>
        <w:t xml:space="preserve">- Monthly Allowable Expenses: [amount]</w:t>
      </w:r>
    </w:p>
    <w:p>
      <w:pPr>
        <w:shd w:fill="F5F5F5" w:val="clear"/>
        <w:spacing w:after="80" w:line="240"/>
        <w:ind w:left="360" w:right="360"/>
      </w:pPr>
      <w:r>
        <w:rPr>
          <w:rFonts w:ascii="Courier New" w:cs="Courier New" w:eastAsia="Courier New" w:hAnsi="Courier New"/>
          <w:color w:val="1A1A1A"/>
          <w:sz w:val="18"/>
          <w:szCs w:val="18"/>
        </w:rPr>
        <w:t xml:space="preserve">- Asset Summary: [list with equity values]</w:t>
      </w:r>
    </w:p>
    <w:p>
      <w:pPr>
        <w:shd w:fill="F5F5F5" w:val="clear"/>
        <w:spacing w:after="80" w:line="240"/>
        <w:ind w:left="360" w:right="360"/>
      </w:pPr>
      <w:r>
        <w:rPr>
          <w:rFonts w:ascii="Courier New" w:cs="Courier New" w:eastAsia="Courier New" w:hAnsi="Courier New"/>
          <w:color w:val="1A1A1A"/>
          <w:sz w:val="18"/>
          <w:szCs w:val="18"/>
        </w:rPr>
        <w:t xml:space="preserve">- Bank Account Balances: [amounts]</w:t>
      </w:r>
    </w:p>
    <w:p>
      <w:pPr>
        <w:shd w:fill="F5F5F5" w:val="clear"/>
        <w:spacing w:after="80" w:line="240"/>
        <w:ind w:left="360" w:right="360"/>
      </w:pPr>
      <w:r>
        <w:rPr>
          <w:rFonts w:ascii="Courier New" w:cs="Courier New" w:eastAsia="Courier New" w:hAnsi="Courier New"/>
          <w:color w:val="1A1A1A"/>
          <w:sz w:val="18"/>
          <w:szCs w:val="18"/>
        </w:rPr>
        <w:t xml:space="preserve">- Retirement Account Values: [amounts]</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SPECIAL CIRCUMSTANCES:</w:t>
      </w:r>
    </w:p>
    <w:p>
      <w:pPr>
        <w:shd w:fill="F5F5F5" w:val="clear"/>
        <w:spacing w:after="80" w:line="240"/>
        <w:ind w:left="360" w:right="360"/>
      </w:pPr>
      <w:r>
        <w:rPr>
          <w:rFonts w:ascii="Courier New" w:cs="Courier New" w:eastAsia="Courier New" w:hAnsi="Courier New"/>
          <w:color w:val="1A1A1A"/>
          <w:sz w:val="18"/>
          <w:szCs w:val="18"/>
        </w:rPr>
        <w:t xml:space="preserve">[Practitioner notes on health, age, employment,</w:t>
      </w:r>
    </w:p>
    <w:p>
      <w:pPr>
        <w:shd w:fill="F5F5F5" w:val="clear"/>
        <w:spacing w:after="80" w:line="240"/>
        <w:ind w:left="360" w:right="360"/>
      </w:pPr>
      <w:r>
        <w:rPr>
          <w:rFonts w:ascii="Courier New" w:cs="Courier New" w:eastAsia="Courier New" w:hAnsi="Courier New"/>
          <w:color w:val="1A1A1A"/>
          <w:sz w:val="18"/>
          <w:szCs w:val="18"/>
        </w:rPr>
        <w:t xml:space="preserve"> compliance history, or other factors]</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REQUESTED OUTPUT:</w:t>
      </w:r>
    </w:p>
    <w:p>
      <w:pPr>
        <w:shd w:fill="F5F5F5" w:val="clear"/>
        <w:spacing w:after="80" w:line="240"/>
        <w:ind w:left="360" w:right="360"/>
      </w:pPr>
      <w:r>
        <w:rPr>
          <w:rFonts w:ascii="Courier New" w:cs="Courier New" w:eastAsia="Courier New" w:hAnsi="Courier New"/>
          <w:color w:val="1A1A1A"/>
          <w:sz w:val="18"/>
          <w:szCs w:val="18"/>
        </w:rPr>
        <w:t xml:space="preserve">1. RCP calculation with supporting math</w:t>
      </w:r>
    </w:p>
    <w:p>
      <w:pPr>
        <w:shd w:fill="F5F5F5" w:val="clear"/>
        <w:spacing w:after="80" w:line="240"/>
        <w:ind w:left="360" w:right="360"/>
      </w:pPr>
      <w:r>
        <w:rPr>
          <w:rFonts w:ascii="Courier New" w:cs="Courier New" w:eastAsia="Courier New" w:hAnsi="Courier New"/>
          <w:color w:val="1A1A1A"/>
          <w:sz w:val="18"/>
          <w:szCs w:val="18"/>
        </w:rPr>
        <w:t xml:space="preserve">2. Recommended offer amount and payment type</w:t>
      </w:r>
    </w:p>
    <w:p>
      <w:pPr>
        <w:shd w:fill="F5F5F5" w:val="clear"/>
        <w:spacing w:after="80" w:line="240"/>
        <w:ind w:left="360" w:right="360"/>
      </w:pPr>
      <w:r>
        <w:rPr>
          <w:rFonts w:ascii="Courier New" w:cs="Courier New" w:eastAsia="Courier New" w:hAnsi="Courier New"/>
          <w:color w:val="1A1A1A"/>
          <w:sz w:val="18"/>
          <w:szCs w:val="18"/>
        </w:rPr>
        <w:t xml:space="preserve">3. Risk factors and potential IRS objections</w:t>
      </w:r>
    </w:p>
    <w:p>
      <w:pPr>
        <w:shd w:fill="F5F5F5" w:val="clear"/>
        <w:spacing w:after="80" w:line="240"/>
        <w:ind w:left="360" w:right="360"/>
      </w:pPr>
      <w:r>
        <w:rPr>
          <w:rFonts w:ascii="Courier New" w:cs="Courier New" w:eastAsia="Courier New" w:hAnsi="Courier New"/>
          <w:color w:val="1A1A1A"/>
          <w:sz w:val="18"/>
          <w:szCs w:val="18"/>
        </w:rPr>
        <w:t xml:space="preserve">4. Supporting IRM/IRC citations</w:t>
      </w:r>
    </w:p>
    <w:p>
      <w:pPr>
        <w:shd w:fill="F5F5F5" w:val="clear"/>
        <w:spacing w:after="80" w:line="240"/>
        <w:ind w:left="360" w:right="360"/>
      </w:pPr>
      <w:r>
        <w:rPr>
          <w:rFonts w:ascii="Courier New" w:cs="Courier New" w:eastAsia="Courier New" w:hAnsi="Courier New"/>
          <w:color w:val="1A1A1A"/>
          <w:sz w:val="18"/>
          <w:szCs w:val="18"/>
        </w:rPr>
        <w:t xml:space="preserve">5. Draft OIC narrative statement (Form 656 attachment)</w:t>
      </w:r>
    </w:p>
    <w:p>
      <w:pPr>
        <w:spacing w:before="80" w:after="0"/>
      </w:pPr>
    </w:p>
    <w:p>
      <w:pPr>
        <w:spacing w:before="200" w:after="120"/>
      </w:pPr>
      <w:r>
        <w:rPr>
          <w:rFonts w:ascii="Arial" w:cs="Arial" w:eastAsia="Arial" w:hAnsi="Arial"/>
          <w:b/>
          <w:bCs/>
          <w:color w:val="1B2A4A"/>
          <w:sz w:val="22"/>
          <w:szCs w:val="22"/>
        </w:rPr>
        <w:t xml:space="preserve">Penalty Abatement Letter Template</w:t>
      </w:r>
    </w:p>
    <w:p>
      <w:pPr>
        <w:shd w:fill="F5F5F5" w:val="clear"/>
        <w:spacing w:after="80" w:line="240"/>
        <w:ind w:left="360" w:right="360"/>
      </w:pPr>
      <w:r>
        <w:rPr>
          <w:rFonts w:ascii="Courier New" w:cs="Courier New" w:eastAsia="Courier New" w:hAnsi="Courier New"/>
          <w:color w:val="1A1A1A"/>
          <w:sz w:val="18"/>
          <w:szCs w:val="18"/>
        </w:rPr>
        <w:t xml:space="preserve">TASK: Penalty Abatement Request Letter</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TARGET PENALTIES:</w:t>
      </w:r>
    </w:p>
    <w:p>
      <w:pPr>
        <w:shd w:fill="F5F5F5" w:val="clear"/>
        <w:spacing w:after="80" w:line="240"/>
        <w:ind w:left="360" w:right="360"/>
      </w:pPr>
      <w:r>
        <w:rPr>
          <w:rFonts w:ascii="Courier New" w:cs="Courier New" w:eastAsia="Courier New" w:hAnsi="Courier New"/>
          <w:color w:val="1A1A1A"/>
          <w:sz w:val="18"/>
          <w:szCs w:val="18"/>
        </w:rPr>
        <w:t xml:space="preserve">- Penalty Type: [FTF/FTP/accuracy-related]</w:t>
      </w:r>
    </w:p>
    <w:p>
      <w:pPr>
        <w:shd w:fill="F5F5F5" w:val="clear"/>
        <w:spacing w:after="80" w:line="240"/>
        <w:ind w:left="360" w:right="360"/>
      </w:pPr>
      <w:r>
        <w:rPr>
          <w:rFonts w:ascii="Courier New" w:cs="Courier New" w:eastAsia="Courier New" w:hAnsi="Courier New"/>
          <w:color w:val="1A1A1A"/>
          <w:sz w:val="18"/>
          <w:szCs w:val="18"/>
        </w:rPr>
        <w:t xml:space="preserve">- Tax Period(s): [periods]</w:t>
      </w:r>
    </w:p>
    <w:p>
      <w:pPr>
        <w:shd w:fill="F5F5F5" w:val="clear"/>
        <w:spacing w:after="80" w:line="240"/>
        <w:ind w:left="360" w:right="360"/>
      </w:pPr>
      <w:r>
        <w:rPr>
          <w:rFonts w:ascii="Courier New" w:cs="Courier New" w:eastAsia="Courier New" w:hAnsi="Courier New"/>
          <w:color w:val="1A1A1A"/>
          <w:sz w:val="18"/>
          <w:szCs w:val="18"/>
        </w:rPr>
        <w:t xml:space="preserve">- Penalty Amount(s): [amounts]</w:t>
      </w:r>
    </w:p>
    <w:p>
      <w:pPr>
        <w:shd w:fill="F5F5F5" w:val="clear"/>
        <w:spacing w:after="80" w:line="240"/>
        <w:ind w:left="360" w:right="360"/>
      </w:pPr>
      <w:r>
        <w:rPr>
          <w:rFonts w:ascii="Courier New" w:cs="Courier New" w:eastAsia="Courier New" w:hAnsi="Courier New"/>
          <w:color w:val="1A1A1A"/>
          <w:sz w:val="18"/>
          <w:szCs w:val="18"/>
        </w:rPr>
        <w:t xml:space="preserve">- IRS Notice Number: [if applicable]</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FACTUAL BASIS FOR ABATEMENT:</w:t>
      </w:r>
    </w:p>
    <w:p>
      <w:pPr>
        <w:shd w:fill="F5F5F5" w:val="clear"/>
        <w:spacing w:after="80" w:line="240"/>
        <w:ind w:left="360" w:right="360"/>
      </w:pPr>
      <w:r>
        <w:rPr>
          <w:rFonts w:ascii="Courier New" w:cs="Courier New" w:eastAsia="Courier New" w:hAnsi="Courier New"/>
          <w:color w:val="1A1A1A"/>
          <w:sz w:val="18"/>
          <w:szCs w:val="18"/>
        </w:rPr>
        <w:t xml:space="preserve">[Practitioner enters the client’s specific</w:t>
      </w:r>
    </w:p>
    <w:p>
      <w:pPr>
        <w:shd w:fill="F5F5F5" w:val="clear"/>
        <w:spacing w:after="80" w:line="240"/>
        <w:ind w:left="360" w:right="360"/>
      </w:pPr>
      <w:r>
        <w:rPr>
          <w:rFonts w:ascii="Courier New" w:cs="Courier New" w:eastAsia="Courier New" w:hAnsi="Courier New"/>
          <w:color w:val="1A1A1A"/>
          <w:sz w:val="18"/>
          <w:szCs w:val="18"/>
        </w:rPr>
        <w:t xml:space="preserve"> circumstances — illness, natural disaster,</w:t>
      </w:r>
    </w:p>
    <w:p>
      <w:pPr>
        <w:shd w:fill="F5F5F5" w:val="clear"/>
        <w:spacing w:after="80" w:line="240"/>
        <w:ind w:left="360" w:right="360"/>
      </w:pPr>
      <w:r>
        <w:rPr>
          <w:rFonts w:ascii="Courier New" w:cs="Courier New" w:eastAsia="Courier New" w:hAnsi="Courier New"/>
          <w:color w:val="1A1A1A"/>
          <w:sz w:val="18"/>
          <w:szCs w:val="18"/>
        </w:rPr>
        <w:t xml:space="preserve"> reliance on professional, death in family, etc.]</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FTA ELIGIBILITY:</w:t>
      </w:r>
    </w:p>
    <w:p>
      <w:pPr>
        <w:shd w:fill="F5F5F5" w:val="clear"/>
        <w:spacing w:after="80" w:line="240"/>
        <w:ind w:left="360" w:right="360"/>
      </w:pPr>
      <w:r>
        <w:rPr>
          <w:rFonts w:ascii="Courier New" w:cs="Courier New" w:eastAsia="Courier New" w:hAnsi="Courier New"/>
          <w:color w:val="1A1A1A"/>
          <w:sz w:val="18"/>
          <w:szCs w:val="18"/>
        </w:rPr>
        <w:t xml:space="preserve">- Prior 3-year compliance: [yes/no/unknown]</w:t>
      </w:r>
    </w:p>
    <w:p>
      <w:pPr>
        <w:shd w:fill="F5F5F5" w:val="clear"/>
        <w:spacing w:after="80" w:line="240"/>
        <w:ind w:left="360" w:right="360"/>
      </w:pPr>
      <w:r>
        <w:rPr>
          <w:rFonts w:ascii="Courier New" w:cs="Courier New" w:eastAsia="Courier New" w:hAnsi="Courier New"/>
          <w:color w:val="1A1A1A"/>
          <w:sz w:val="18"/>
          <w:szCs w:val="18"/>
        </w:rPr>
        <w:t xml:space="preserve">- All currently required returns filed: [yes/no]</w:t>
      </w:r>
    </w:p>
    <w:p>
      <w:pPr>
        <w:shd w:fill="F5F5F5" w:val="clear"/>
        <w:spacing w:after="80" w:line="240"/>
        <w:ind w:left="360" w:right="360"/>
      </w:pPr>
      <w:r>
        <w:rPr>
          <w:rFonts w:ascii="Courier New" w:cs="Courier New" w:eastAsia="Courier New" w:hAnsi="Courier New"/>
          <w:color w:val="1A1A1A"/>
          <w:sz w:val="18"/>
          <w:szCs w:val="18"/>
        </w:rPr>
        <w:t xml:space="preserve">- All current taxes paid or on IA: [yes/no]</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REQUESTED OUTPUT:</w:t>
      </w:r>
    </w:p>
    <w:p>
      <w:pPr>
        <w:shd w:fill="F5F5F5" w:val="clear"/>
        <w:spacing w:after="80" w:line="240"/>
        <w:ind w:left="360" w:right="360"/>
      </w:pPr>
      <w:r>
        <w:rPr>
          <w:rFonts w:ascii="Courier New" w:cs="Courier New" w:eastAsia="Courier New" w:hAnsi="Courier New"/>
          <w:color w:val="1A1A1A"/>
          <w:sz w:val="18"/>
          <w:szCs w:val="18"/>
        </w:rPr>
        <w:t xml:space="preserve">1. Recommended abatement theory (FTA vs. reasonable</w:t>
      </w:r>
    </w:p>
    <w:p>
      <w:pPr>
        <w:shd w:fill="F5F5F5" w:val="clear"/>
        <w:spacing w:after="80" w:line="240"/>
        <w:ind w:left="360" w:right="360"/>
      </w:pPr>
      <w:r>
        <w:rPr>
          <w:rFonts w:ascii="Courier New" w:cs="Courier New" w:eastAsia="Courier New" w:hAnsi="Courier New"/>
          <w:color w:val="1A1A1A"/>
          <w:sz w:val="18"/>
          <w:szCs w:val="18"/>
        </w:rPr>
        <w:t xml:space="preserve">   cause vs. both)</w:t>
      </w:r>
    </w:p>
    <w:p>
      <w:pPr>
        <w:shd w:fill="F5F5F5" w:val="clear"/>
        <w:spacing w:after="80" w:line="240"/>
        <w:ind w:left="360" w:right="360"/>
      </w:pPr>
      <w:r>
        <w:rPr>
          <w:rFonts w:ascii="Courier New" w:cs="Courier New" w:eastAsia="Courier New" w:hAnsi="Courier New"/>
          <w:color w:val="1A1A1A"/>
          <w:sz w:val="18"/>
          <w:szCs w:val="18"/>
        </w:rPr>
        <w:t xml:space="preserve">2. Draft letter to IRS with specific factual support</w:t>
      </w:r>
    </w:p>
    <w:p>
      <w:pPr>
        <w:shd w:fill="F5F5F5" w:val="clear"/>
        <w:spacing w:after="80" w:line="240"/>
        <w:ind w:left="360" w:right="360"/>
      </w:pPr>
      <w:r>
        <w:rPr>
          <w:rFonts w:ascii="Courier New" w:cs="Courier New" w:eastAsia="Courier New" w:hAnsi="Courier New"/>
          <w:color w:val="1A1A1A"/>
          <w:sz w:val="18"/>
          <w:szCs w:val="18"/>
        </w:rPr>
        <w:t xml:space="preserve">   tied to IRM 20.1 criteria</w:t>
      </w:r>
    </w:p>
    <w:p>
      <w:pPr>
        <w:shd w:fill="F5F5F5" w:val="clear"/>
        <w:spacing w:after="80" w:line="240"/>
        <w:ind w:left="360" w:right="360"/>
      </w:pPr>
      <w:r>
        <w:rPr>
          <w:rFonts w:ascii="Courier New" w:cs="Courier New" w:eastAsia="Courier New" w:hAnsi="Courier New"/>
          <w:color w:val="1A1A1A"/>
          <w:sz w:val="18"/>
          <w:szCs w:val="18"/>
        </w:rPr>
        <w:t xml:space="preserve">3. Supporting documentation checklist for client</w:t>
      </w:r>
    </w:p>
    <w:p>
      <w:pPr>
        <w:spacing w:before="80" w:after="0"/>
      </w:pPr>
    </w:p>
    <w:p>
      <w:pPr>
        <w:pStyle w:val="Heading2"/>
        <w:spacing w:before="280" w:after="160"/>
      </w:pPr>
      <w:r>
        <w:rPr>
          <w:rFonts w:ascii="Arial" w:cs="Arial" w:eastAsia="Arial" w:hAnsi="Arial"/>
          <w:b/>
          <w:bCs/>
          <w:color w:val="2E75B6"/>
          <w:sz w:val="24"/>
          <w:szCs w:val="24"/>
        </w:rPr>
        <w:t xml:space="preserve">5.3 Prompt Versioning and Change Management</w:t>
      </w:r>
    </w:p>
    <w:p>
      <w:pPr>
        <w:spacing w:after="160" w:line="276"/>
      </w:pPr>
      <w:r>
        <w:rPr>
          <w:rFonts w:ascii="Arial" w:cs="Arial" w:eastAsia="Arial" w:hAnsi="Arial"/>
          <w:color w:val="1A1A1A"/>
          <w:sz w:val="21"/>
          <w:szCs w:val="21"/>
        </w:rPr>
        <w:t xml:space="preserve">The system prompt and all task templates are stored in a version-controlled repository (Git). Changes to the system prompt require:</w:t>
      </w:r>
    </w:p>
    <w:p>
      <w:pPr>
        <w:pStyle w:val="ListParagraph"/>
        <w:numPr>
          <w:ilvl w:val="0"/>
          <w:numId w:val="5"/>
        </w:numPr>
        <w:spacing w:after="100" w:line="276"/>
      </w:pPr>
      <w:r>
        <w:rPr>
          <w:rFonts w:ascii="Arial" w:cs="Arial" w:eastAsia="Arial" w:hAnsi="Arial"/>
          <w:color w:val="1A1A1A"/>
          <w:sz w:val="21"/>
          <w:szCs w:val="21"/>
        </w:rPr>
        <w:t xml:space="preserve">A written change proposal describing the modification and its rationale</w:t>
      </w:r>
    </w:p>
    <w:p>
      <w:pPr>
        <w:pStyle w:val="ListParagraph"/>
        <w:numPr>
          <w:ilvl w:val="0"/>
          <w:numId w:val="5"/>
        </w:numPr>
        <w:spacing w:after="100" w:line="276"/>
      </w:pPr>
      <w:r>
        <w:rPr>
          <w:rFonts w:ascii="Arial" w:cs="Arial" w:eastAsia="Arial" w:hAnsi="Arial"/>
          <w:color w:val="1A1A1A"/>
          <w:sz w:val="21"/>
          <w:szCs w:val="21"/>
        </w:rPr>
        <w:t xml:space="preserve">Review by at least one licensed practitioner on the Cleared team</w:t>
      </w:r>
    </w:p>
    <w:p>
      <w:pPr>
        <w:pStyle w:val="ListParagraph"/>
        <w:numPr>
          <w:ilvl w:val="0"/>
          <w:numId w:val="5"/>
        </w:numPr>
        <w:spacing w:after="100" w:line="276"/>
      </w:pPr>
      <w:r>
        <w:rPr>
          <w:rFonts w:ascii="Arial" w:cs="Arial" w:eastAsia="Arial" w:hAnsi="Arial"/>
          <w:color w:val="1A1A1A"/>
          <w:sz w:val="21"/>
          <w:szCs w:val="21"/>
        </w:rPr>
        <w:t xml:space="preserve">Testing against a standardized set of 20+ test cases covering each task type</w:t>
      </w:r>
    </w:p>
    <w:p>
      <w:pPr>
        <w:pStyle w:val="ListParagraph"/>
        <w:numPr>
          <w:ilvl w:val="0"/>
          <w:numId w:val="5"/>
        </w:numPr>
        <w:spacing w:after="100" w:line="276"/>
      </w:pPr>
      <w:r>
        <w:rPr>
          <w:rFonts w:ascii="Arial" w:cs="Arial" w:eastAsia="Arial" w:hAnsi="Arial"/>
          <w:color w:val="1A1A1A"/>
          <w:sz w:val="21"/>
          <w:szCs w:val="21"/>
        </w:rPr>
        <w:t xml:space="preserve">Documentation in the change log with the effective date</w:t>
      </w:r>
    </w:p>
    <w:p>
      <w:pPr>
        <w:pStyle w:val="ListParagraph"/>
        <w:numPr>
          <w:ilvl w:val="0"/>
          <w:numId w:val="5"/>
        </w:numPr>
        <w:spacing w:after="100" w:line="276"/>
      </w:pPr>
      <w:r>
        <w:rPr>
          <w:rFonts w:ascii="Arial" w:cs="Arial" w:eastAsia="Arial" w:hAnsi="Arial"/>
          <w:color w:val="1A1A1A"/>
          <w:sz w:val="21"/>
          <w:szCs w:val="21"/>
        </w:rPr>
        <w:t xml:space="preserve">A 30-day monitoring period after deployment to track output quality</w:t>
      </w:r>
    </w:p>
    <w:p>
      <w:pPr>
        <w:spacing w:before="80" w:after="0"/>
      </w:pPr>
    </w:p>
    <w:p>
      <w:pPr>
        <w:pBdr>
          <w:bottom w:val="single" w:color="2E75B6" w:sz="4" w:space="1"/>
        </w:pBdr>
        <w:spacing w:before="200" w:after="200"/>
      </w:pPr>
    </w:p>
    <w:p>
      <w:pPr>
        <w:pStyle w:val="Heading1"/>
        <w:spacing w:before="360" w:after="200"/>
      </w:pPr>
      <w:r>
        <w:rPr>
          <w:rFonts w:ascii="Arial" w:cs="Arial" w:eastAsia="Arial" w:hAnsi="Arial"/>
          <w:b/>
          <w:bCs/>
          <w:color w:val="1B2A4A"/>
          <w:sz w:val="28"/>
          <w:szCs w:val="28"/>
        </w:rPr>
        <w:t xml:space="preserve">6. Practitioner Review Workflow</w:t>
      </w:r>
    </w:p>
    <w:p>
      <w:pPr>
        <w:spacing w:after="160" w:line="276"/>
      </w:pPr>
      <w:r>
        <w:rPr>
          <w:rFonts w:ascii="Arial" w:cs="Arial" w:eastAsia="Arial" w:hAnsi="Arial"/>
          <w:color w:val="1A1A1A"/>
          <w:sz w:val="21"/>
          <w:szCs w:val="21"/>
        </w:rPr>
        <w:t xml:space="preserve">The review workflow is the compliance backbone of the entire system. It ensures that no AI-generated work product reaches a client without substantive review by a licensed professional exercising independent judgment.</w:t>
      </w:r>
    </w:p>
    <w:p>
      <w:pPr>
        <w:pStyle w:val="Heading2"/>
        <w:spacing w:before="280" w:after="160"/>
      </w:pPr>
      <w:r>
        <w:rPr>
          <w:rFonts w:ascii="Arial" w:cs="Arial" w:eastAsia="Arial" w:hAnsi="Arial"/>
          <w:b/>
          <w:bCs/>
          <w:color w:val="2E75B6"/>
          <w:sz w:val="24"/>
          <w:szCs w:val="24"/>
        </w:rPr>
        <w:t xml:space="preserve">6.1 Review Queue</w:t>
      </w:r>
    </w:p>
    <w:p>
      <w:pPr>
        <w:spacing w:after="160" w:line="276"/>
      </w:pPr>
      <w:r>
        <w:rPr>
          <w:rFonts w:ascii="Arial" w:cs="Arial" w:eastAsia="Arial" w:hAnsi="Arial"/>
          <w:color w:val="1A1A1A"/>
          <w:sz w:val="21"/>
          <w:szCs w:val="21"/>
        </w:rPr>
        <w:t xml:space="preserve">When the AI completes a task, the output is placed in the assigned practitioner’s review queue with the following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Field</w:t>
            </w:r>
          </w:p>
        </w:tc>
        <w:tc>
          <w:tcPr>
            <w:tcW w:type="dxa" w:w="468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Example</w:t>
            </w:r>
          </w:p>
        </w:tc>
      </w:tr>
      <w:tr>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Task ID</w:t>
            </w:r>
          </w:p>
        </w:tc>
        <w:tc>
          <w:tcPr>
            <w:tcW w:type="dxa" w:w="468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Unique identifier for traceability</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CLR-2026-03-0142</w:t>
            </w:r>
          </w:p>
        </w:tc>
      </w:tr>
      <w:tr>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Task Type</w:t>
            </w:r>
          </w:p>
        </w:tc>
        <w:tc>
          <w:tcPr>
            <w:tcW w:type="dxa" w:w="46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OIC Analysis, Penalty Abatement, IA Analysis, Innocent Spouse, General Research, or Custom</w:t>
            </w:r>
          </w:p>
        </w:tc>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OIC Analysis</w:t>
            </w:r>
          </w:p>
        </w:tc>
      </w:tr>
      <w:tr>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Model Used</w:t>
            </w:r>
          </w:p>
        </w:tc>
        <w:tc>
          <w:tcPr>
            <w:tcW w:type="dxa" w:w="468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Which Claude model processed the request</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claude-sonnet-4-6</w:t>
            </w:r>
          </w:p>
        </w:tc>
      </w:tr>
      <w:tr>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VERIFY Flags</w:t>
            </w:r>
          </w:p>
        </w:tc>
        <w:tc>
          <w:tcPr>
            <w:tcW w:type="dxa" w:w="46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Count and list of [VERIFY] tags the AI inserted where it was uncertain about a citation or calculation</w:t>
            </w:r>
          </w:p>
        </w:tc>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2 flags</w:t>
            </w:r>
          </w:p>
        </w:tc>
      </w:tr>
      <w:tr>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JUDGMENT Flags</w:t>
            </w:r>
          </w:p>
        </w:tc>
        <w:tc>
          <w:tcPr>
            <w:tcW w:type="dxa" w:w="468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Count and list of [PRACTITIONER JUDGMENT] tags where strategic decisions are required</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1 flag</w:t>
            </w:r>
          </w:p>
        </w:tc>
      </w:tr>
      <w:tr>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Priority</w:t>
            </w:r>
          </w:p>
        </w:tc>
        <w:tc>
          <w:tcPr>
            <w:tcW w:type="dxa" w:w="46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Based on CSED proximity, client deadline, or case urgency</w:t>
            </w:r>
          </w:p>
        </w:tc>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High (CSED &lt; 90 days)</w:t>
            </w:r>
          </w:p>
        </w:tc>
      </w:tr>
    </w:tbl>
    <w:p>
      <w:pPr>
        <w:spacing w:before="80" w:after="0"/>
      </w:pPr>
    </w:p>
    <w:p>
      <w:pPr>
        <w:pStyle w:val="Heading2"/>
        <w:spacing w:before="280" w:after="160"/>
      </w:pPr>
      <w:r>
        <w:rPr>
          <w:rFonts w:ascii="Arial" w:cs="Arial" w:eastAsia="Arial" w:hAnsi="Arial"/>
          <w:b/>
          <w:bCs/>
          <w:color w:val="2E75B6"/>
          <w:sz w:val="24"/>
          <w:szCs w:val="24"/>
        </w:rPr>
        <w:t xml:space="preserve">6.2 Review Actions</w:t>
      </w:r>
    </w:p>
    <w:p>
      <w:pPr>
        <w:spacing w:after="160" w:line="276"/>
      </w:pPr>
      <w:r>
        <w:rPr>
          <w:rFonts w:ascii="Arial" w:cs="Arial" w:eastAsia="Arial" w:hAnsi="Arial"/>
          <w:color w:val="1A1A1A"/>
          <w:sz w:val="21"/>
          <w:szCs w:val="21"/>
        </w:rPr>
        <w:t xml:space="preserve">The practitioner has four available actions for each item in the review queue:</w:t>
      </w:r>
    </w:p>
    <w:p>
      <w:pPr>
        <w:pStyle w:val="ListParagraph"/>
        <w:numPr>
          <w:ilvl w:val="0"/>
          <w:numId w:val="5"/>
        </w:numPr>
        <w:spacing w:after="100" w:line="276"/>
      </w:pPr>
      <w:r>
        <w:rPr>
          <w:rFonts w:ascii="Arial" w:cs="Arial" w:eastAsia="Arial" w:hAnsi="Arial"/>
          <w:b/>
          <w:bCs/>
          <w:color w:val="1A1A1A"/>
          <w:sz w:val="21"/>
          <w:szCs w:val="21"/>
        </w:rPr>
        <w:t xml:space="preserve">Approve: </w:t>
      </w:r>
      <w:r>
        <w:rPr>
          <w:rFonts w:ascii="Arial" w:cs="Arial" w:eastAsia="Arial" w:hAnsi="Arial"/>
          <w:color w:val="1A1A1A"/>
          <w:sz w:val="21"/>
          <w:szCs w:val="21"/>
        </w:rPr>
        <w:t xml:space="preserve">The output meets professional standards. Practitioner’s name, license number, and timestamp are recorded. The output proceeds to client delivery.</w:t>
      </w:r>
    </w:p>
    <w:p>
      <w:pPr>
        <w:pStyle w:val="ListParagraph"/>
        <w:numPr>
          <w:ilvl w:val="0"/>
          <w:numId w:val="5"/>
        </w:numPr>
        <w:spacing w:after="100" w:line="276"/>
      </w:pPr>
      <w:r>
        <w:rPr>
          <w:rFonts w:ascii="Arial" w:cs="Arial" w:eastAsia="Arial" w:hAnsi="Arial"/>
          <w:b/>
          <w:bCs/>
          <w:color w:val="1A1A1A"/>
          <w:sz w:val="21"/>
          <w:szCs w:val="21"/>
        </w:rPr>
        <w:t xml:space="preserve">Edit &amp; Approve: </w:t>
      </w:r>
      <w:r>
        <w:rPr>
          <w:rFonts w:ascii="Arial" w:cs="Arial" w:eastAsia="Arial" w:hAnsi="Arial"/>
          <w:color w:val="1A1A1A"/>
          <w:sz w:val="21"/>
          <w:szCs w:val="21"/>
        </w:rPr>
        <w:t xml:space="preserve">The output requires modification. Practitioner edits the document in the built-in editor, and both the original AI output and the edited version are retained in the audit log. This is the expected path for most tasks.</w:t>
      </w:r>
    </w:p>
    <w:p>
      <w:pPr>
        <w:pStyle w:val="ListParagraph"/>
        <w:numPr>
          <w:ilvl w:val="0"/>
          <w:numId w:val="5"/>
        </w:numPr>
        <w:spacing w:after="100" w:line="276"/>
      </w:pPr>
      <w:r>
        <w:rPr>
          <w:rFonts w:ascii="Arial" w:cs="Arial" w:eastAsia="Arial" w:hAnsi="Arial"/>
          <w:b/>
          <w:bCs/>
          <w:color w:val="1A1A1A"/>
          <w:sz w:val="21"/>
          <w:szCs w:val="21"/>
        </w:rPr>
        <w:t xml:space="preserve">Reject &amp; Re-Prompt: </w:t>
      </w:r>
      <w:r>
        <w:rPr>
          <w:rFonts w:ascii="Arial" w:cs="Arial" w:eastAsia="Arial" w:hAnsi="Arial"/>
          <w:color w:val="1A1A1A"/>
          <w:sz w:val="21"/>
          <w:szCs w:val="21"/>
        </w:rPr>
        <w:t xml:space="preserve">The output is fundamentally flawed. Practitioner provides feedback, and the task is re-submitted to the AI with the practitioner’s correction notes appended to the prompt. The rejected output is retained in the audit log.</w:t>
      </w:r>
    </w:p>
    <w:p>
      <w:pPr>
        <w:pStyle w:val="ListParagraph"/>
        <w:numPr>
          <w:ilvl w:val="0"/>
          <w:numId w:val="5"/>
        </w:numPr>
        <w:spacing w:after="100" w:line="276"/>
      </w:pPr>
      <w:r>
        <w:rPr>
          <w:rFonts w:ascii="Arial" w:cs="Arial" w:eastAsia="Arial" w:hAnsi="Arial"/>
          <w:b/>
          <w:bCs/>
          <w:color w:val="1A1A1A"/>
          <w:sz w:val="21"/>
          <w:szCs w:val="21"/>
        </w:rPr>
        <w:t xml:space="preserve">Reject &amp; Manual: </w:t>
      </w:r>
      <w:r>
        <w:rPr>
          <w:rFonts w:ascii="Arial" w:cs="Arial" w:eastAsia="Arial" w:hAnsi="Arial"/>
          <w:color w:val="1A1A1A"/>
          <w:sz w:val="21"/>
          <w:szCs w:val="21"/>
        </w:rPr>
        <w:t xml:space="preserve">The task is beyond the AI’s capability for this specific situation. The practitioner completes the task manually. The AI’s failed output is logged for quality improvement analysis.</w:t>
      </w:r>
    </w:p>
    <w:p>
      <w:pPr>
        <w:spacing w:before="80" w:after="0"/>
      </w:pPr>
    </w:p>
    <w:p>
      <w:pPr>
        <w:pStyle w:val="Heading2"/>
        <w:spacing w:before="280" w:after="160"/>
      </w:pPr>
      <w:r>
        <w:rPr>
          <w:rFonts w:ascii="Arial" w:cs="Arial" w:eastAsia="Arial" w:hAnsi="Arial"/>
          <w:b/>
          <w:bCs/>
          <w:color w:val="2E75B6"/>
          <w:sz w:val="24"/>
          <w:szCs w:val="24"/>
        </w:rPr>
        <w:t xml:space="preserve">6.3 Supervision Requirements</w:t>
      </w:r>
    </w:p>
    <w:p>
      <w:pPr>
        <w:spacing w:after="160" w:line="276"/>
      </w:pPr>
      <w:r>
        <w:rPr>
          <w:rFonts w:ascii="Arial" w:cs="Arial" w:eastAsia="Arial" w:hAnsi="Arial"/>
          <w:color w:val="1A1A1A"/>
          <w:sz w:val="21"/>
          <w:szCs w:val="21"/>
        </w:rPr>
        <w:t xml:space="preserve">Under ABA Model Rule 5.3 and Circular 230 § 10.36, the supervising practitioner must exercise direct supervisory authority over AI-generated work product. The following requirements are built into the platform:</w:t>
      </w:r>
    </w:p>
    <w:p>
      <w:pPr>
        <w:pStyle w:val="ListParagraph"/>
        <w:numPr>
          <w:ilvl w:val="0"/>
          <w:numId w:val="5"/>
        </w:numPr>
        <w:spacing w:after="100" w:line="276"/>
      </w:pPr>
      <w:r>
        <w:rPr>
          <w:rFonts w:ascii="Arial" w:cs="Arial" w:eastAsia="Arial" w:hAnsi="Arial"/>
          <w:color w:val="1A1A1A"/>
          <w:sz w:val="21"/>
          <w:szCs w:val="21"/>
        </w:rPr>
        <w:t xml:space="preserve">No AI output can be transmitted to a client, filed with the IRS, or submitted to any external party without an affirmative approval action by a licensed practitioner.</w:t>
      </w:r>
    </w:p>
    <w:p>
      <w:pPr>
        <w:pStyle w:val="ListParagraph"/>
        <w:numPr>
          <w:ilvl w:val="0"/>
          <w:numId w:val="5"/>
        </w:numPr>
        <w:spacing w:after="100" w:line="276"/>
      </w:pPr>
      <w:r>
        <w:rPr>
          <w:rFonts w:ascii="Arial" w:cs="Arial" w:eastAsia="Arial" w:hAnsi="Arial"/>
          <w:color w:val="1A1A1A"/>
          <w:sz w:val="21"/>
          <w:szCs w:val="21"/>
        </w:rPr>
        <w:t xml:space="preserve">The practitioner’s review must be substantive, not perfunctory. The platform tracks time spent in review; reviews completed in under 60 seconds for complex tasks trigger a soft warning.</w:t>
      </w:r>
    </w:p>
    <w:p>
      <w:pPr>
        <w:pStyle w:val="ListParagraph"/>
        <w:numPr>
          <w:ilvl w:val="0"/>
          <w:numId w:val="5"/>
        </w:numPr>
        <w:spacing w:after="100" w:line="276"/>
      </w:pPr>
      <w:r>
        <w:rPr>
          <w:rFonts w:ascii="Arial" w:cs="Arial" w:eastAsia="Arial" w:hAnsi="Arial"/>
          <w:color w:val="1A1A1A"/>
          <w:sz w:val="21"/>
          <w:szCs w:val="21"/>
        </w:rPr>
        <w:t xml:space="preserve">Each practitioner’s review queue is assigned based on their licensure and expertise. OIC cases are routed to practitioners with OIC experience; innocent spouse cases to those with family tax law background.</w:t>
      </w:r>
    </w:p>
    <w:p>
      <w:pPr>
        <w:pStyle w:val="ListParagraph"/>
        <w:numPr>
          <w:ilvl w:val="0"/>
          <w:numId w:val="5"/>
        </w:numPr>
        <w:spacing w:after="100" w:line="276"/>
      </w:pPr>
      <w:r>
        <w:rPr>
          <w:rFonts w:ascii="Arial" w:cs="Arial" w:eastAsia="Arial" w:hAnsi="Arial"/>
          <w:color w:val="1A1A1A"/>
          <w:sz w:val="21"/>
          <w:szCs w:val="21"/>
        </w:rPr>
        <w:t xml:space="preserve">The supervising principal (or designated compliance officer) receives a weekly summary of all AI-generated tasks, review outcomes, and flag rates.</w:t>
      </w:r>
    </w:p>
    <w:p>
      <w:pPr>
        <w:spacing w:before="80" w:after="0"/>
      </w:pPr>
    </w:p>
    <w:p>
      <w:pPr>
        <w:pBdr>
          <w:bottom w:val="single" w:color="2E75B6" w:sz="4" w:space="1"/>
        </w:pBdr>
        <w:spacing w:before="200" w:after="200"/>
      </w:pPr>
    </w:p>
    <w:p>
      <w:pPr>
        <w:pStyle w:val="Heading1"/>
        <w:spacing w:before="360" w:after="200"/>
      </w:pPr>
      <w:r>
        <w:rPr>
          <w:rFonts w:ascii="Arial" w:cs="Arial" w:eastAsia="Arial" w:hAnsi="Arial"/>
          <w:b/>
          <w:bCs/>
          <w:color w:val="1B2A4A"/>
          <w:sz w:val="28"/>
          <w:szCs w:val="28"/>
        </w:rPr>
        <w:t xml:space="preserve">7. Audit &amp; Logging Infrastructure</w:t>
      </w:r>
    </w:p>
    <w:p>
      <w:pPr>
        <w:pStyle w:val="Heading2"/>
        <w:spacing w:before="280" w:after="160"/>
      </w:pPr>
      <w:r>
        <w:rPr>
          <w:rFonts w:ascii="Arial" w:cs="Arial" w:eastAsia="Arial" w:hAnsi="Arial"/>
          <w:b/>
          <w:bCs/>
          <w:color w:val="2E75B6"/>
          <w:sz w:val="24"/>
          <w:szCs w:val="24"/>
        </w:rPr>
        <w:t xml:space="preserve">7.1 What Gets Logged</w:t>
      </w:r>
    </w:p>
    <w:p>
      <w:pPr>
        <w:spacing w:after="160" w:line="276"/>
      </w:pPr>
      <w:r>
        <w:rPr>
          <w:rFonts w:ascii="Arial" w:cs="Arial" w:eastAsia="Arial" w:hAnsi="Arial"/>
          <w:color w:val="1A1A1A"/>
          <w:sz w:val="21"/>
          <w:szCs w:val="21"/>
        </w:rPr>
        <w:t xml:space="preserve">Every interaction with the Claude API generates a comprehensive audit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Log Field</w:t>
            </w:r>
          </w:p>
        </w:tc>
        <w:tc>
          <w:tcPr>
            <w:tcW w:type="dxa" w:w="468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Content</w:t>
            </w:r>
          </w:p>
        </w:tc>
        <w:tc>
          <w:tcPr>
            <w:tcW w:type="dxa" w:w="234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Retention</w:t>
            </w:r>
          </w:p>
        </w:tc>
      </w:tr>
      <w:tr>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Request ID</w:t>
            </w:r>
          </w:p>
        </w:tc>
        <w:tc>
          <w:tcPr>
            <w:tcW w:type="dxa" w:w="468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UUID for each API call</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7 years</w:t>
            </w:r>
          </w:p>
        </w:tc>
      </w:tr>
      <w:tr>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Timestamp</w:t>
            </w:r>
          </w:p>
        </w:tc>
        <w:tc>
          <w:tcPr>
            <w:tcW w:type="dxa" w:w="46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UTC timestamp of request and response</w:t>
            </w:r>
          </w:p>
        </w:tc>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7 years</w:t>
            </w:r>
          </w:p>
        </w:tc>
      </w:tr>
      <w:tr>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Practitioner ID</w:t>
            </w:r>
          </w:p>
        </w:tc>
        <w:tc>
          <w:tcPr>
            <w:tcW w:type="dxa" w:w="468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Who initiated the request</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7 years</w:t>
            </w:r>
          </w:p>
        </w:tc>
      </w:tr>
      <w:tr>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Client Matter ID</w:t>
            </w:r>
          </w:p>
        </w:tc>
        <w:tc>
          <w:tcPr>
            <w:tcW w:type="dxa" w:w="46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Internal case reference (no client name)</w:t>
            </w:r>
          </w:p>
        </w:tc>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7 years</w:t>
            </w:r>
          </w:p>
        </w:tc>
      </w:tr>
      <w:tr>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Tokenized Prompt</w:t>
            </w:r>
          </w:p>
        </w:tc>
        <w:tc>
          <w:tcPr>
            <w:tcW w:type="dxa" w:w="468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Full prompt as sent to API (PII-stripped)</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7 years</w:t>
            </w:r>
          </w:p>
        </w:tc>
      </w:tr>
      <w:tr>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Tokenized Response</w:t>
            </w:r>
          </w:p>
        </w:tc>
        <w:tc>
          <w:tcPr>
            <w:tcW w:type="dxa" w:w="46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Full API response (pre-de-tokenization)</w:t>
            </w:r>
          </w:p>
        </w:tc>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7 years</w:t>
            </w:r>
          </w:p>
        </w:tc>
      </w:tr>
      <w:tr>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Model &amp; Parameters</w:t>
            </w:r>
          </w:p>
        </w:tc>
        <w:tc>
          <w:tcPr>
            <w:tcW w:type="dxa" w:w="468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Model version, temperature, max tokens</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7 years</w:t>
            </w:r>
          </w:p>
        </w:tc>
      </w:tr>
      <w:tr>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System Prompt Version</w:t>
            </w:r>
          </w:p>
        </w:tc>
        <w:tc>
          <w:tcPr>
            <w:tcW w:type="dxa" w:w="46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Git hash of the system prompt used</w:t>
            </w:r>
          </w:p>
        </w:tc>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7 years</w:t>
            </w:r>
          </w:p>
        </w:tc>
      </w:tr>
      <w:tr>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Review Action</w:t>
            </w:r>
          </w:p>
        </w:tc>
        <w:tc>
          <w:tcPr>
            <w:tcW w:type="dxa" w:w="468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Approve / Edit &amp; Approve / Reject / Manual</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7 years</w:t>
            </w:r>
          </w:p>
        </w:tc>
      </w:tr>
      <w:tr>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Review Timestamp</w:t>
            </w:r>
          </w:p>
        </w:tc>
        <w:tc>
          <w:tcPr>
            <w:tcW w:type="dxa" w:w="46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When practitioner completed review</w:t>
            </w:r>
          </w:p>
        </w:tc>
        <w:tc>
          <w:tcPr>
            <w:tcW w:type="dxa" w:w="234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7 years</w:t>
            </w:r>
          </w:p>
        </w:tc>
      </w:tr>
      <w:tr>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Edited Output</w:t>
            </w:r>
          </w:p>
        </w:tc>
        <w:tc>
          <w:tcPr>
            <w:tcW w:type="dxa" w:w="468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Final version after practitioner edits (if applicable)</w:t>
            </w:r>
          </w:p>
        </w:tc>
        <w:tc>
          <w:tcPr>
            <w:tcW w:type="dxa" w:w="234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7 years</w:t>
            </w:r>
          </w:p>
        </w:tc>
      </w:tr>
    </w:tbl>
    <w:p>
      <w:pPr>
        <w:spacing w:before="80" w:after="0"/>
      </w:pPr>
    </w:p>
    <w:p>
      <w:pPr>
        <w:spacing w:after="160" w:line="276"/>
      </w:pPr>
      <w:r>
        <w:rPr>
          <w:rFonts w:ascii="Arial" w:cs="Arial" w:eastAsia="Arial" w:hAnsi="Arial"/>
          <w:color w:val="1A1A1A"/>
          <w:sz w:val="21"/>
          <w:szCs w:val="21"/>
        </w:rPr>
        <w:t xml:space="preserve">The 7-year retention period aligns with IRS record retention requirements and the general statute of limitations for tax matters including fraud extensions.</w:t>
      </w:r>
    </w:p>
    <w:p>
      <w:pPr>
        <w:pStyle w:val="Heading2"/>
        <w:spacing w:before="280" w:after="160"/>
      </w:pPr>
      <w:r>
        <w:rPr>
          <w:rFonts w:ascii="Arial" w:cs="Arial" w:eastAsia="Arial" w:hAnsi="Arial"/>
          <w:b/>
          <w:bCs/>
          <w:color w:val="2E75B6"/>
          <w:sz w:val="24"/>
          <w:szCs w:val="24"/>
        </w:rPr>
        <w:t xml:space="preserve">7.2 Log Security</w:t>
      </w:r>
    </w:p>
    <w:p>
      <w:pPr>
        <w:pStyle w:val="ListParagraph"/>
        <w:numPr>
          <w:ilvl w:val="0"/>
          <w:numId w:val="5"/>
        </w:numPr>
        <w:spacing w:after="100" w:line="276"/>
      </w:pPr>
      <w:r>
        <w:rPr>
          <w:rFonts w:ascii="Arial" w:cs="Arial" w:eastAsia="Arial" w:hAnsi="Arial"/>
          <w:color w:val="1A1A1A"/>
          <w:sz w:val="21"/>
          <w:szCs w:val="21"/>
        </w:rPr>
        <w:t xml:space="preserve">All logs are encrypted at rest (AES-256) and in transit (TLS 1.3).</w:t>
      </w:r>
    </w:p>
    <w:p>
      <w:pPr>
        <w:pStyle w:val="ListParagraph"/>
        <w:numPr>
          <w:ilvl w:val="0"/>
          <w:numId w:val="5"/>
        </w:numPr>
        <w:spacing w:after="100" w:line="276"/>
      </w:pPr>
      <w:r>
        <w:rPr>
          <w:rFonts w:ascii="Arial" w:cs="Arial" w:eastAsia="Arial" w:hAnsi="Arial"/>
          <w:color w:val="1A1A1A"/>
          <w:sz w:val="21"/>
          <w:szCs w:val="21"/>
        </w:rPr>
        <w:t xml:space="preserve">Logs containing tokenized prompts/responses are stored separately from the token mapping tables. An attacker who compromises the log store cannot re-identify clients without also compromising the mapping database.</w:t>
      </w:r>
    </w:p>
    <w:p>
      <w:pPr>
        <w:pStyle w:val="ListParagraph"/>
        <w:numPr>
          <w:ilvl w:val="0"/>
          <w:numId w:val="5"/>
        </w:numPr>
        <w:spacing w:after="100" w:line="276"/>
      </w:pPr>
      <w:r>
        <w:rPr>
          <w:rFonts w:ascii="Arial" w:cs="Arial" w:eastAsia="Arial" w:hAnsi="Arial"/>
          <w:color w:val="1A1A1A"/>
          <w:sz w:val="21"/>
          <w:szCs w:val="21"/>
        </w:rPr>
        <w:t xml:space="preserve">Access to logs is restricted to the compliance officer and system administrators via role-based access control (RBAC). Practitioners can view their own task history but cannot access other practitioners’ logs.</w:t>
      </w:r>
    </w:p>
    <w:p>
      <w:pPr>
        <w:pStyle w:val="ListParagraph"/>
        <w:numPr>
          <w:ilvl w:val="0"/>
          <w:numId w:val="5"/>
        </w:numPr>
        <w:spacing w:after="100" w:line="276"/>
      </w:pPr>
      <w:r>
        <w:rPr>
          <w:rFonts w:ascii="Arial" w:cs="Arial" w:eastAsia="Arial" w:hAnsi="Arial"/>
          <w:color w:val="1A1A1A"/>
          <w:sz w:val="21"/>
          <w:szCs w:val="21"/>
        </w:rPr>
        <w:t xml:space="preserve">Log integrity is protected by append-only storage with cryptographic hash chaining. Tampering is detectable.</w:t>
      </w:r>
    </w:p>
    <w:p>
      <w:pPr>
        <w:spacing w:before="80" w:after="0"/>
      </w:pPr>
    </w:p>
    <w:p>
      <w:pPr>
        <w:pBdr>
          <w:bottom w:val="single" w:color="2E75B6" w:sz="4" w:space="1"/>
        </w:pBdr>
        <w:spacing w:before="200" w:after="200"/>
      </w:pPr>
    </w:p>
    <w:p>
      <w:pPr>
        <w:pStyle w:val="Heading1"/>
        <w:spacing w:before="360" w:after="200"/>
      </w:pPr>
      <w:r>
        <w:rPr>
          <w:rFonts w:ascii="Arial" w:cs="Arial" w:eastAsia="Arial" w:hAnsi="Arial"/>
          <w:b/>
          <w:bCs/>
          <w:color w:val="1B2A4A"/>
          <w:sz w:val="28"/>
          <w:szCs w:val="28"/>
        </w:rPr>
        <w:t xml:space="preserve">8. Security Architecture</w:t>
      </w:r>
    </w:p>
    <w:p>
      <w:pPr>
        <w:pStyle w:val="Heading2"/>
        <w:spacing w:before="280" w:after="160"/>
      </w:pPr>
      <w:r>
        <w:rPr>
          <w:rFonts w:ascii="Arial" w:cs="Arial" w:eastAsia="Arial" w:hAnsi="Arial"/>
          <w:b/>
          <w:bCs/>
          <w:color w:val="2E75B6"/>
          <w:sz w:val="24"/>
          <w:szCs w:val="24"/>
        </w:rPr>
        <w:t xml:space="preserve">8.1 Encryption</w:t>
      </w:r>
    </w:p>
    <w:p>
      <w:pPr>
        <w:pStyle w:val="ListParagraph"/>
        <w:numPr>
          <w:ilvl w:val="0"/>
          <w:numId w:val="5"/>
        </w:numPr>
        <w:spacing w:after="100" w:line="276"/>
      </w:pPr>
      <w:r>
        <w:rPr>
          <w:rFonts w:ascii="Arial" w:cs="Arial" w:eastAsia="Arial" w:hAnsi="Arial"/>
          <w:b/>
          <w:bCs/>
          <w:color w:val="1A1A1A"/>
          <w:sz w:val="21"/>
          <w:szCs w:val="21"/>
        </w:rPr>
        <w:t xml:space="preserve">In Transit: </w:t>
      </w:r>
      <w:r>
        <w:rPr>
          <w:rFonts w:ascii="Arial" w:cs="Arial" w:eastAsia="Arial" w:hAnsi="Arial"/>
          <w:color w:val="1A1A1A"/>
          <w:sz w:val="21"/>
          <w:szCs w:val="21"/>
        </w:rPr>
        <w:t xml:space="preserve">All data in transit uses TLS 1.3. API calls to Anthropic use HTTPS with certificate pinning. Internal service-to-service communication uses mutual TLS (mTLS).</w:t>
      </w:r>
    </w:p>
    <w:p>
      <w:pPr>
        <w:pStyle w:val="ListParagraph"/>
        <w:numPr>
          <w:ilvl w:val="0"/>
          <w:numId w:val="5"/>
        </w:numPr>
        <w:spacing w:after="100" w:line="276"/>
      </w:pPr>
      <w:r>
        <w:rPr>
          <w:rFonts w:ascii="Arial" w:cs="Arial" w:eastAsia="Arial" w:hAnsi="Arial"/>
          <w:b/>
          <w:bCs/>
          <w:color w:val="1A1A1A"/>
          <w:sz w:val="21"/>
          <w:szCs w:val="21"/>
        </w:rPr>
        <w:t xml:space="preserve">At Rest: </w:t>
      </w:r>
      <w:r>
        <w:rPr>
          <w:rFonts w:ascii="Arial" w:cs="Arial" w:eastAsia="Arial" w:hAnsi="Arial"/>
          <w:color w:val="1A1A1A"/>
          <w:sz w:val="21"/>
          <w:szCs w:val="21"/>
        </w:rPr>
        <w:t xml:space="preserve">All databases and file storage use AES-256 encryption. Encryption keys are managed through the cloud provider’s key management service (AWS KMS or GCP Cloud KMS) with automatic rotation.</w:t>
      </w:r>
    </w:p>
    <w:p>
      <w:pPr>
        <w:pStyle w:val="ListParagraph"/>
        <w:numPr>
          <w:ilvl w:val="0"/>
          <w:numId w:val="5"/>
        </w:numPr>
        <w:spacing w:after="100" w:line="276"/>
      </w:pPr>
      <w:r>
        <w:rPr>
          <w:rFonts w:ascii="Arial" w:cs="Arial" w:eastAsia="Arial" w:hAnsi="Arial"/>
          <w:b/>
          <w:bCs/>
          <w:color w:val="1A1A1A"/>
          <w:sz w:val="21"/>
          <w:szCs w:val="21"/>
        </w:rPr>
        <w:t xml:space="preserve">Token Mapping Tables: </w:t>
      </w:r>
      <w:r>
        <w:rPr>
          <w:rFonts w:ascii="Arial" w:cs="Arial" w:eastAsia="Arial" w:hAnsi="Arial"/>
          <w:color w:val="1A1A1A"/>
          <w:sz w:val="21"/>
          <w:szCs w:val="21"/>
        </w:rPr>
        <w:t xml:space="preserve">Encrypted with a separate key from the general database. Access requires both the application service account and a runtime secret that is not stored on disk.</w:t>
      </w:r>
    </w:p>
    <w:p>
      <w:pPr>
        <w:pStyle w:val="Heading2"/>
        <w:spacing w:before="280" w:after="160"/>
      </w:pPr>
      <w:r>
        <w:rPr>
          <w:rFonts w:ascii="Arial" w:cs="Arial" w:eastAsia="Arial" w:hAnsi="Arial"/>
          <w:b/>
          <w:bCs/>
          <w:color w:val="2E75B6"/>
          <w:sz w:val="24"/>
          <w:szCs w:val="24"/>
        </w:rPr>
        <w:t xml:space="preserve">8.2 Access Control</w:t>
      </w:r>
    </w:p>
    <w:p>
      <w:pPr>
        <w:pStyle w:val="ListParagraph"/>
        <w:numPr>
          <w:ilvl w:val="0"/>
          <w:numId w:val="5"/>
        </w:numPr>
        <w:spacing w:after="100" w:line="276"/>
      </w:pPr>
      <w:r>
        <w:rPr>
          <w:rFonts w:ascii="Arial" w:cs="Arial" w:eastAsia="Arial" w:hAnsi="Arial"/>
          <w:b/>
          <w:bCs/>
          <w:color w:val="1A1A1A"/>
          <w:sz w:val="21"/>
          <w:szCs w:val="21"/>
        </w:rPr>
        <w:t xml:space="preserve">Authentication: </w:t>
      </w:r>
      <w:r>
        <w:rPr>
          <w:rFonts w:ascii="Arial" w:cs="Arial" w:eastAsia="Arial" w:hAnsi="Arial"/>
          <w:color w:val="1A1A1A"/>
          <w:sz w:val="21"/>
          <w:szCs w:val="21"/>
        </w:rPr>
        <w:t xml:space="preserve">All practitioners authenticate via SSO with MFA required. No shared accounts. No password-only authentication.</w:t>
      </w:r>
    </w:p>
    <w:p>
      <w:pPr>
        <w:pStyle w:val="ListParagraph"/>
        <w:numPr>
          <w:ilvl w:val="0"/>
          <w:numId w:val="5"/>
        </w:numPr>
        <w:spacing w:after="100" w:line="276"/>
      </w:pPr>
      <w:r>
        <w:rPr>
          <w:rFonts w:ascii="Arial" w:cs="Arial" w:eastAsia="Arial" w:hAnsi="Arial"/>
          <w:b/>
          <w:bCs/>
          <w:color w:val="1A1A1A"/>
          <w:sz w:val="21"/>
          <w:szCs w:val="21"/>
        </w:rPr>
        <w:t xml:space="preserve">Authorization: </w:t>
      </w:r>
      <w:r>
        <w:rPr>
          <w:rFonts w:ascii="Arial" w:cs="Arial" w:eastAsia="Arial" w:hAnsi="Arial"/>
          <w:color w:val="1A1A1A"/>
          <w:sz w:val="21"/>
          <w:szCs w:val="21"/>
        </w:rPr>
        <w:t xml:space="preserve">Role-based access control with three tiers: Practitioner (can submit tasks and review their own queue), Senior Practitioner (can review any queue and access team-level reporting), and Administrator/Compliance Officer (full audit log access, system configuration, prompt management).</w:t>
      </w:r>
    </w:p>
    <w:p>
      <w:pPr>
        <w:pStyle w:val="ListParagraph"/>
        <w:numPr>
          <w:ilvl w:val="0"/>
          <w:numId w:val="5"/>
        </w:numPr>
        <w:spacing w:after="100" w:line="276"/>
      </w:pPr>
      <w:r>
        <w:rPr>
          <w:rFonts w:ascii="Arial" w:cs="Arial" w:eastAsia="Arial" w:hAnsi="Arial"/>
          <w:b/>
          <w:bCs/>
          <w:color w:val="1A1A1A"/>
          <w:sz w:val="21"/>
          <w:szCs w:val="21"/>
        </w:rPr>
        <w:t xml:space="preserve">API Key Management: </w:t>
      </w:r>
      <w:r>
        <w:rPr>
          <w:rFonts w:ascii="Arial" w:cs="Arial" w:eastAsia="Arial" w:hAnsi="Arial"/>
          <w:color w:val="1A1A1A"/>
          <w:sz w:val="21"/>
          <w:szCs w:val="21"/>
        </w:rPr>
        <w:t xml:space="preserve">The Claude API key is stored in a secrets manager, rotated quarterly, and accessible only to the API gateway service. No practitioner ever sees or handles the API key directly.</w:t>
      </w:r>
    </w:p>
    <w:p>
      <w:pPr>
        <w:pStyle w:val="Heading2"/>
        <w:spacing w:before="280" w:after="160"/>
      </w:pPr>
      <w:r>
        <w:rPr>
          <w:rFonts w:ascii="Arial" w:cs="Arial" w:eastAsia="Arial" w:hAnsi="Arial"/>
          <w:b/>
          <w:bCs/>
          <w:color w:val="2E75B6"/>
          <w:sz w:val="24"/>
          <w:szCs w:val="24"/>
        </w:rPr>
        <w:t xml:space="preserve">8.3 Infrastructure Security</w:t>
      </w:r>
    </w:p>
    <w:p>
      <w:pPr>
        <w:pStyle w:val="ListParagraph"/>
        <w:numPr>
          <w:ilvl w:val="0"/>
          <w:numId w:val="5"/>
        </w:numPr>
        <w:spacing w:after="100" w:line="276"/>
      </w:pPr>
      <w:r>
        <w:rPr>
          <w:rFonts w:ascii="Arial" w:cs="Arial" w:eastAsia="Arial" w:hAnsi="Arial"/>
          <w:color w:val="1A1A1A"/>
          <w:sz w:val="21"/>
          <w:szCs w:val="21"/>
        </w:rPr>
        <w:t xml:space="preserve">The application runs in a private VPC with no direct internet access for backend services. Only the API gateway has outbound access to Anthropic’s API endpoint.</w:t>
      </w:r>
    </w:p>
    <w:p>
      <w:pPr>
        <w:pStyle w:val="ListParagraph"/>
        <w:numPr>
          <w:ilvl w:val="0"/>
          <w:numId w:val="5"/>
        </w:numPr>
        <w:spacing w:after="100" w:line="276"/>
      </w:pPr>
      <w:r>
        <w:rPr>
          <w:rFonts w:ascii="Arial" w:cs="Arial" w:eastAsia="Arial" w:hAnsi="Arial"/>
          <w:color w:val="1A1A1A"/>
          <w:sz w:val="21"/>
          <w:szCs w:val="21"/>
        </w:rPr>
        <w:t xml:space="preserve">All infrastructure is deployed via infrastructure-as-code (Terraform/Pulumi) with peer-reviewed change management.</w:t>
      </w:r>
    </w:p>
    <w:p>
      <w:pPr>
        <w:pStyle w:val="ListParagraph"/>
        <w:numPr>
          <w:ilvl w:val="0"/>
          <w:numId w:val="5"/>
        </w:numPr>
        <w:spacing w:after="100" w:line="276"/>
      </w:pPr>
      <w:r>
        <w:rPr>
          <w:rFonts w:ascii="Arial" w:cs="Arial" w:eastAsia="Arial" w:hAnsi="Arial"/>
          <w:color w:val="1A1A1A"/>
          <w:sz w:val="21"/>
          <w:szCs w:val="21"/>
        </w:rPr>
        <w:t xml:space="preserve">Regular vulnerability scanning and annual penetration testing by a third-party security firm.</w:t>
      </w:r>
    </w:p>
    <w:p>
      <w:pPr>
        <w:pStyle w:val="ListParagraph"/>
        <w:numPr>
          <w:ilvl w:val="0"/>
          <w:numId w:val="5"/>
        </w:numPr>
        <w:spacing w:after="100" w:line="276"/>
      </w:pPr>
      <w:r>
        <w:rPr>
          <w:rFonts w:ascii="Arial" w:cs="Arial" w:eastAsia="Arial" w:hAnsi="Arial"/>
          <w:color w:val="1A1A1A"/>
          <w:sz w:val="21"/>
          <w:szCs w:val="21"/>
        </w:rPr>
        <w:t xml:space="preserve">Incident response plan (see Appendix B) with defined roles, escalation paths, and notification timelines.</w:t>
      </w:r>
    </w:p>
    <w:p>
      <w:pPr>
        <w:pStyle w:val="Heading2"/>
        <w:spacing w:before="280" w:after="160"/>
      </w:pPr>
      <w:r>
        <w:rPr>
          <w:rFonts w:ascii="Arial" w:cs="Arial" w:eastAsia="Arial" w:hAnsi="Arial"/>
          <w:b/>
          <w:bCs/>
          <w:color w:val="2E75B6"/>
          <w:sz w:val="24"/>
          <w:szCs w:val="24"/>
        </w:rPr>
        <w:t xml:space="preserve">8.4 IRS Publication 4557 Compliance</w:t>
      </w:r>
    </w:p>
    <w:p>
      <w:pPr>
        <w:spacing w:after="160" w:line="276"/>
      </w:pPr>
      <w:r>
        <w:rPr>
          <w:rFonts w:ascii="Arial" w:cs="Arial" w:eastAsia="Arial" w:hAnsi="Arial"/>
          <w:color w:val="1A1A1A"/>
          <w:sz w:val="21"/>
          <w:szCs w:val="21"/>
        </w:rPr>
        <w:t xml:space="preserve">IRS Pub 4557 requires tax professionals to implement a written information security plan (WISP). Cleared’s Tier 1 platform is designed to satisfy the following Pub 4557 requirements:</w:t>
      </w:r>
    </w:p>
    <w:p>
      <w:pPr>
        <w:pStyle w:val="ListParagraph"/>
        <w:numPr>
          <w:ilvl w:val="0"/>
          <w:numId w:val="5"/>
        </w:numPr>
        <w:spacing w:after="100" w:line="276"/>
      </w:pPr>
      <w:r>
        <w:rPr>
          <w:rFonts w:ascii="Arial" w:cs="Arial" w:eastAsia="Arial" w:hAnsi="Arial"/>
          <w:b/>
          <w:bCs/>
          <w:color w:val="1A1A1A"/>
          <w:sz w:val="21"/>
          <w:szCs w:val="21"/>
        </w:rPr>
        <w:t xml:space="preserve">Employee management and training: </w:t>
      </w:r>
      <w:r>
        <w:rPr>
          <w:rFonts w:ascii="Arial" w:cs="Arial" w:eastAsia="Arial" w:hAnsi="Arial"/>
          <w:color w:val="1A1A1A"/>
          <w:sz w:val="21"/>
          <w:szCs w:val="21"/>
        </w:rPr>
        <w:t xml:space="preserve">All practitioners complete annual security training covering AI-specific risks (prompt injection, data leakage, over-reliance on AI output).</w:t>
      </w:r>
    </w:p>
    <w:p>
      <w:pPr>
        <w:pStyle w:val="ListParagraph"/>
        <w:numPr>
          <w:ilvl w:val="0"/>
          <w:numId w:val="5"/>
        </w:numPr>
        <w:spacing w:after="100" w:line="276"/>
      </w:pPr>
      <w:r>
        <w:rPr>
          <w:rFonts w:ascii="Arial" w:cs="Arial" w:eastAsia="Arial" w:hAnsi="Arial"/>
          <w:b/>
          <w:bCs/>
          <w:color w:val="1A1A1A"/>
          <w:sz w:val="21"/>
          <w:szCs w:val="21"/>
        </w:rPr>
        <w:t xml:space="preserve">Information systems: </w:t>
      </w:r>
      <w:r>
        <w:rPr>
          <w:rFonts w:ascii="Arial" w:cs="Arial" w:eastAsia="Arial" w:hAnsi="Arial"/>
          <w:color w:val="1A1A1A"/>
          <w:sz w:val="21"/>
          <w:szCs w:val="21"/>
        </w:rPr>
        <w:t xml:space="preserve">Firewall protection, encryption, access controls, and secure remote access are all implemented at the infrastructure level.</w:t>
      </w:r>
    </w:p>
    <w:p>
      <w:pPr>
        <w:pStyle w:val="ListParagraph"/>
        <w:numPr>
          <w:ilvl w:val="0"/>
          <w:numId w:val="5"/>
        </w:numPr>
        <w:spacing w:after="100" w:line="276"/>
      </w:pPr>
      <w:r>
        <w:rPr>
          <w:rFonts w:ascii="Arial" w:cs="Arial" w:eastAsia="Arial" w:hAnsi="Arial"/>
          <w:b/>
          <w:bCs/>
          <w:color w:val="1A1A1A"/>
          <w:sz w:val="21"/>
          <w:szCs w:val="21"/>
        </w:rPr>
        <w:t xml:space="preserve">Detecting and managing system failures: </w:t>
      </w:r>
      <w:r>
        <w:rPr>
          <w:rFonts w:ascii="Arial" w:cs="Arial" w:eastAsia="Arial" w:hAnsi="Arial"/>
          <w:color w:val="1A1A1A"/>
          <w:sz w:val="21"/>
          <w:szCs w:val="21"/>
        </w:rPr>
        <w:t xml:space="preserve">Automated monitoring with alerting for anomalous API usage patterns, failed authentication attempts, and data access outside normal patterns.</w:t>
      </w:r>
    </w:p>
    <w:p>
      <w:pPr>
        <w:pStyle w:val="ListParagraph"/>
        <w:numPr>
          <w:ilvl w:val="0"/>
          <w:numId w:val="5"/>
        </w:numPr>
        <w:spacing w:after="100" w:line="276"/>
      </w:pPr>
      <w:r>
        <w:rPr>
          <w:rFonts w:ascii="Arial" w:cs="Arial" w:eastAsia="Arial" w:hAnsi="Arial"/>
          <w:b/>
          <w:bCs/>
          <w:color w:val="1A1A1A"/>
          <w:sz w:val="21"/>
          <w:szCs w:val="21"/>
        </w:rPr>
        <w:t xml:space="preserve">Disposal of client data: </w:t>
      </w:r>
      <w:r>
        <w:rPr>
          <w:rFonts w:ascii="Arial" w:cs="Arial" w:eastAsia="Arial" w:hAnsi="Arial"/>
          <w:color w:val="1A1A1A"/>
          <w:sz w:val="21"/>
          <w:szCs w:val="21"/>
        </w:rPr>
        <w:t xml:space="preserve">Defined data retention and secure deletion procedures. Token mapping tables are purged after case finalization. Client data is retained for the required 7-year period, then securely destroyed.</w:t>
      </w:r>
    </w:p>
    <w:p>
      <w:pPr>
        <w:spacing w:before="80" w:after="0"/>
      </w:pPr>
    </w:p>
    <w:p>
      <w:pPr>
        <w:pBdr>
          <w:bottom w:val="single" w:color="2E75B6" w:sz="4" w:space="1"/>
        </w:pBdr>
        <w:spacing w:before="200" w:after="200"/>
      </w:pPr>
    </w:p>
    <w:p>
      <w:pPr>
        <w:pStyle w:val="Heading1"/>
        <w:spacing w:before="360" w:after="200"/>
      </w:pPr>
      <w:r>
        <w:rPr>
          <w:rFonts w:ascii="Arial" w:cs="Arial" w:eastAsia="Arial" w:hAnsi="Arial"/>
          <w:b/>
          <w:bCs/>
          <w:color w:val="1B2A4A"/>
          <w:sz w:val="28"/>
          <w:szCs w:val="28"/>
        </w:rPr>
        <w:t xml:space="preserve">9. Regulatory Compliance Mapping</w:t>
      </w:r>
    </w:p>
    <w:p>
      <w:pPr>
        <w:spacing w:after="160" w:line="276"/>
      </w:pPr>
      <w:r>
        <w:rPr>
          <w:rFonts w:ascii="Arial" w:cs="Arial" w:eastAsia="Arial" w:hAnsi="Arial"/>
          <w:color w:val="1A1A1A"/>
          <w:sz w:val="21"/>
          <w:szCs w:val="21"/>
        </w:rPr>
        <w:t xml:space="preserve">The following table maps each relevant regulatory requirement to the specific Tier 1 platform feature that satisfies it: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Requirement</w:t>
            </w:r>
          </w:p>
        </w:tc>
        <w:tc>
          <w:tcPr>
            <w:tcW w:type="dxa" w:w="338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Source</w:t>
            </w:r>
          </w:p>
        </w:tc>
        <w:tc>
          <w:tcPr>
            <w:tcW w:type="dxa" w:w="338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Platform Feature</w:t>
            </w:r>
          </w:p>
        </w:tc>
      </w:tr>
      <w:tr>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Competence in technology use</w:t>
            </w:r>
          </w:p>
        </w:tc>
        <w:tc>
          <w:tcPr>
            <w:tcW w:type="dxa" w:w="338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ABA Model Rule 1.1; ABA Op. 512</w:t>
            </w:r>
          </w:p>
        </w:tc>
        <w:tc>
          <w:tcPr>
            <w:tcW w:type="dxa" w:w="338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Practitioner training program; system prompt with [VERIFY] flags; mandatory review workflow</w:t>
            </w:r>
          </w:p>
        </w:tc>
      </w:tr>
      <w:tr>
        <w:tc>
          <w:tcPr>
            <w:tcW w:type="dxa" w:w="2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Supervision of nonlawyer assistants</w:t>
            </w:r>
          </w:p>
        </w:tc>
        <w:tc>
          <w:tcPr>
            <w:tcW w:type="dxa" w:w="33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ABA Model Rule 5.3</w:t>
            </w:r>
          </w:p>
        </w:tc>
        <w:tc>
          <w:tcPr>
            <w:tcW w:type="dxa" w:w="33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Mandatory human review; no direct client output; review time tracking; weekly compliance reports</w:t>
            </w:r>
          </w:p>
        </w:tc>
      </w:tr>
      <w:tr>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Client confidentiality</w:t>
            </w:r>
          </w:p>
        </w:tc>
        <w:tc>
          <w:tcPr>
            <w:tcW w:type="dxa" w:w="338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ABA Model Rule 1.6; Circular 230 § 10.33</w:t>
            </w:r>
          </w:p>
        </w:tc>
        <w:tc>
          <w:tcPr>
            <w:tcW w:type="dxa" w:w="338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PII tokenization layer; API no-training guarantee; encrypted storage; DPA with Anthropic</w:t>
            </w:r>
          </w:p>
        </w:tc>
      </w:tr>
      <w:tr>
        <w:tc>
          <w:tcPr>
            <w:tcW w:type="dxa" w:w="2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Communication with clients</w:t>
            </w:r>
          </w:p>
        </w:tc>
        <w:tc>
          <w:tcPr>
            <w:tcW w:type="dxa" w:w="33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ABA Model Rule 1.4</w:t>
            </w:r>
          </w:p>
        </w:tc>
        <w:tc>
          <w:tcPr>
            <w:tcW w:type="dxa" w:w="33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Client engagement agreement with AI disclosure; output review ensures accuracy before delivery</w:t>
            </w:r>
          </w:p>
        </w:tc>
      </w:tr>
      <w:tr>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Candor to tribunals</w:t>
            </w:r>
          </w:p>
        </w:tc>
        <w:tc>
          <w:tcPr>
            <w:tcW w:type="dxa" w:w="338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ABA Model Rule 3.3</w:t>
            </w:r>
          </w:p>
        </w:tc>
        <w:tc>
          <w:tcPr>
            <w:tcW w:type="dxa" w:w="338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[VERIFY] citation flags; practitioner obligation to validate all legal citations before filing</w:t>
            </w:r>
          </w:p>
        </w:tc>
      </w:tr>
      <w:tr>
        <w:tc>
          <w:tcPr>
            <w:tcW w:type="dxa" w:w="2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Due diligence in practice</w:t>
            </w:r>
          </w:p>
        </w:tc>
        <w:tc>
          <w:tcPr>
            <w:tcW w:type="dxa" w:w="33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Circular 230 §§ 10.22, 10.34</w:t>
            </w:r>
          </w:p>
        </w:tc>
        <w:tc>
          <w:tcPr>
            <w:tcW w:type="dxa" w:w="33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Practitioner review of all AI output; system prompt requiring specific citations; rejection pathway for substandard output</w:t>
            </w:r>
          </w:p>
        </w:tc>
      </w:tr>
      <w:tr>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Firm-level compliance procedures</w:t>
            </w:r>
          </w:p>
        </w:tc>
        <w:tc>
          <w:tcPr>
            <w:tcW w:type="dxa" w:w="338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Circular 230 § 10.36</w:t>
            </w:r>
          </w:p>
        </w:tc>
        <w:tc>
          <w:tcPr>
            <w:tcW w:type="dxa" w:w="338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This specification document; internal AI use policy; weekly compliance reporting; prompt version control</w:t>
            </w:r>
          </w:p>
        </w:tc>
      </w:tr>
      <w:tr>
        <w:tc>
          <w:tcPr>
            <w:tcW w:type="dxa" w:w="26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Taxpayer data security</w:t>
            </w:r>
          </w:p>
        </w:tc>
        <w:tc>
          <w:tcPr>
            <w:tcW w:type="dxa" w:w="33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IRS Pub 4557; FTC Safeguards Rule</w:t>
            </w:r>
          </w:p>
        </w:tc>
        <w:tc>
          <w:tcPr>
            <w:tcW w:type="dxa" w:w="338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Written information security plan; encryption; access controls; secure disposal; annual security training</w:t>
            </w:r>
          </w:p>
        </w:tc>
      </w:tr>
      <w:tr>
        <w:tc>
          <w:tcPr>
            <w:tcW w:type="dxa" w:w="260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Unauthorized practice of law</w:t>
            </w:r>
          </w:p>
        </w:tc>
        <w:tc>
          <w:tcPr>
            <w:tcW w:type="dxa" w:w="338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TCA § 23-3-103; state UPL statutes</w:t>
            </w:r>
          </w:p>
        </w:tc>
        <w:tc>
          <w:tcPr>
            <w:tcW w:type="dxa" w:w="338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AI operates as internal tool only; no direct client interaction; all output reviewed by licensed professional; firm (not software) is the service provider</w:t>
            </w:r>
          </w:p>
        </w:tc>
      </w:tr>
    </w:tbl>
    <w:p>
      <w:pPr>
        <w:spacing w:before="80" w:after="0"/>
      </w:pPr>
    </w:p>
    <w:p>
      <w:pPr>
        <w:pBdr>
          <w:bottom w:val="single" w:color="2E75B6" w:sz="4" w:space="1"/>
        </w:pBdr>
        <w:spacing w:before="200" w:after="200"/>
      </w:pPr>
    </w:p>
    <w:p>
      <w:pPr>
        <w:pStyle w:val="Heading1"/>
        <w:spacing w:before="360" w:after="200"/>
      </w:pPr>
      <w:r>
        <w:rPr>
          <w:rFonts w:ascii="Arial" w:cs="Arial" w:eastAsia="Arial" w:hAnsi="Arial"/>
          <w:b/>
          <w:bCs/>
          <w:color w:val="1B2A4A"/>
          <w:sz w:val="28"/>
          <w:szCs w:val="28"/>
        </w:rPr>
        <w:t xml:space="preserve">10. Sample Implementation Code</w:t>
      </w:r>
    </w:p>
    <w:p>
      <w:pPr>
        <w:spacing w:after="160" w:line="276"/>
      </w:pPr>
      <w:r>
        <w:rPr>
          <w:rFonts w:ascii="Arial" w:cs="Arial" w:eastAsia="Arial" w:hAnsi="Arial"/>
          <w:color w:val="1A1A1A"/>
          <w:sz w:val="21"/>
          <w:szCs w:val="21"/>
        </w:rPr>
        <w:t xml:space="preserve">The following code samples illustrate the core integration patterns. These are reference implementations for engineering purposes — production code should include additional error handling, retry logic, and monitoring instrumentation.</w:t>
      </w:r>
    </w:p>
    <w:p>
      <w:pPr>
        <w:pStyle w:val="Heading2"/>
        <w:spacing w:before="280" w:after="160"/>
      </w:pPr>
      <w:r>
        <w:rPr>
          <w:rFonts w:ascii="Arial" w:cs="Arial" w:eastAsia="Arial" w:hAnsi="Arial"/>
          <w:b/>
          <w:bCs/>
          <w:color w:val="2E75B6"/>
          <w:sz w:val="24"/>
          <w:szCs w:val="24"/>
        </w:rPr>
        <w:t xml:space="preserve">10.1 PII Tokenization (Python)</w:t>
      </w:r>
    </w:p>
    <w:p>
      <w:pPr>
        <w:shd w:fill="F5F5F5" w:val="clear"/>
        <w:spacing w:after="80" w:line="240"/>
        <w:ind w:left="360" w:right="360"/>
      </w:pPr>
      <w:r>
        <w:rPr>
          <w:rFonts w:ascii="Courier New" w:cs="Courier New" w:eastAsia="Courier New" w:hAnsi="Courier New"/>
          <w:color w:val="1A1A1A"/>
          <w:sz w:val="18"/>
          <w:szCs w:val="18"/>
        </w:rPr>
        <w:t xml:space="preserve">import re, hashlib, hmac, json</w:t>
      </w:r>
    </w:p>
    <w:p>
      <w:pPr>
        <w:shd w:fill="F5F5F5" w:val="clear"/>
        <w:spacing w:after="80" w:line="240"/>
        <w:ind w:left="360" w:right="360"/>
      </w:pPr>
      <w:r>
        <w:rPr>
          <w:rFonts w:ascii="Courier New" w:cs="Courier New" w:eastAsia="Courier New" w:hAnsi="Courier New"/>
          <w:color w:val="1A1A1A"/>
          <w:sz w:val="18"/>
          <w:szCs w:val="18"/>
        </w:rPr>
        <w:t xml:space="preserve">from dataclasses import dataclass, field</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class PIITokenizer:</w:t>
      </w:r>
    </w:p>
    <w:p>
      <w:pPr>
        <w:shd w:fill="F5F5F5" w:val="clear"/>
        <w:spacing w:after="80" w:line="240"/>
        <w:ind w:left="360" w:right="360"/>
      </w:pPr>
      <w:r>
        <w:rPr>
          <w:rFonts w:ascii="Courier New" w:cs="Courier New" w:eastAsia="Courier New" w:hAnsi="Courier New"/>
          <w:color w:val="1A1A1A"/>
          <w:sz w:val="18"/>
          <w:szCs w:val="18"/>
        </w:rPr>
        <w:t xml:space="preserve">    """Strips PII from text, replacing with</w:t>
      </w:r>
    </w:p>
    <w:p>
      <w:pPr>
        <w:shd w:fill="F5F5F5" w:val="clear"/>
        <w:spacing w:after="80" w:line="240"/>
        <w:ind w:left="360" w:right="360"/>
      </w:pPr>
      <w:r>
        <w:rPr>
          <w:rFonts w:ascii="Courier New" w:cs="Courier New" w:eastAsia="Courier New" w:hAnsi="Courier New"/>
          <w:color w:val="1A1A1A"/>
          <w:sz w:val="18"/>
          <w:szCs w:val="18"/>
        </w:rPr>
        <w:t xml:space="preserve">    deterministic tokens."""</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    def __init__(self, session_key: bytes):</w:t>
      </w:r>
    </w:p>
    <w:p>
      <w:pPr>
        <w:shd w:fill="F5F5F5" w:val="clear"/>
        <w:spacing w:after="80" w:line="240"/>
        <w:ind w:left="360" w:right="360"/>
      </w:pPr>
      <w:r>
        <w:rPr>
          <w:rFonts w:ascii="Courier New" w:cs="Courier New" w:eastAsia="Courier New" w:hAnsi="Courier New"/>
          <w:color w:val="1A1A1A"/>
          <w:sz w:val="18"/>
          <w:szCs w:val="18"/>
        </w:rPr>
        <w:t xml:space="preserve">        self.session_key = session_key</w:t>
      </w:r>
    </w:p>
    <w:p>
      <w:pPr>
        <w:shd w:fill="F5F5F5" w:val="clear"/>
        <w:spacing w:after="80" w:line="240"/>
        <w:ind w:left="360" w:right="360"/>
      </w:pPr>
      <w:r>
        <w:rPr>
          <w:rFonts w:ascii="Courier New" w:cs="Courier New" w:eastAsia="Courier New" w:hAnsi="Courier New"/>
          <w:color w:val="1A1A1A"/>
          <w:sz w:val="18"/>
          <w:szCs w:val="18"/>
        </w:rPr>
        <w:t xml:space="preserve">        self.token_map: dict[str, str] = {}</w:t>
      </w:r>
    </w:p>
    <w:p>
      <w:pPr>
        <w:shd w:fill="F5F5F5" w:val="clear"/>
        <w:spacing w:after="80" w:line="240"/>
        <w:ind w:left="360" w:right="360"/>
      </w:pPr>
      <w:r>
        <w:rPr>
          <w:rFonts w:ascii="Courier New" w:cs="Courier New" w:eastAsia="Courier New" w:hAnsi="Courier New"/>
          <w:color w:val="1A1A1A"/>
          <w:sz w:val="18"/>
          <w:szCs w:val="18"/>
        </w:rPr>
        <w:t xml:space="preserve">        self.reverse_map: dict[str, str] = {}</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    def _make_token(</w:t>
      </w:r>
    </w:p>
    <w:p>
      <w:pPr>
        <w:shd w:fill="F5F5F5" w:val="clear"/>
        <w:spacing w:after="80" w:line="240"/>
        <w:ind w:left="360" w:right="360"/>
      </w:pPr>
      <w:r>
        <w:rPr>
          <w:rFonts w:ascii="Courier New" w:cs="Courier New" w:eastAsia="Courier New" w:hAnsi="Courier New"/>
          <w:color w:val="1A1A1A"/>
          <w:sz w:val="18"/>
          <w:szCs w:val="18"/>
        </w:rPr>
        <w:t xml:space="preserve">        self, category: str, value: str</w:t>
      </w:r>
    </w:p>
    <w:p>
      <w:pPr>
        <w:shd w:fill="F5F5F5" w:val="clear"/>
        <w:spacing w:after="80" w:line="240"/>
        <w:ind w:left="360" w:right="360"/>
      </w:pPr>
      <w:r>
        <w:rPr>
          <w:rFonts w:ascii="Courier New" w:cs="Courier New" w:eastAsia="Courier New" w:hAnsi="Courier New"/>
          <w:color w:val="1A1A1A"/>
          <w:sz w:val="18"/>
          <w:szCs w:val="18"/>
        </w:rPr>
        <w:t xml:space="preserve">    ) -&gt; str:</w:t>
      </w:r>
    </w:p>
    <w:p>
      <w:pPr>
        <w:shd w:fill="F5F5F5" w:val="clear"/>
        <w:spacing w:after="80" w:line="240"/>
        <w:ind w:left="360" w:right="360"/>
      </w:pPr>
      <w:r>
        <w:rPr>
          <w:rFonts w:ascii="Courier New" w:cs="Courier New" w:eastAsia="Courier New" w:hAnsi="Courier New"/>
          <w:color w:val="1A1A1A"/>
          <w:sz w:val="18"/>
          <w:szCs w:val="18"/>
        </w:rPr>
        <w:t xml:space="preserve">        h = hmac.new(</w:t>
      </w:r>
    </w:p>
    <w:p>
      <w:pPr>
        <w:shd w:fill="F5F5F5" w:val="clear"/>
        <w:spacing w:after="80" w:line="240"/>
        <w:ind w:left="360" w:right="360"/>
      </w:pPr>
      <w:r>
        <w:rPr>
          <w:rFonts w:ascii="Courier New" w:cs="Courier New" w:eastAsia="Courier New" w:hAnsi="Courier New"/>
          <w:color w:val="1A1A1A"/>
          <w:sz w:val="18"/>
          <w:szCs w:val="18"/>
        </w:rPr>
        <w:t xml:space="preserve">            self.session_key,</w:t>
      </w:r>
    </w:p>
    <w:p>
      <w:pPr>
        <w:shd w:fill="F5F5F5" w:val="clear"/>
        <w:spacing w:after="80" w:line="240"/>
        <w:ind w:left="360" w:right="360"/>
      </w:pPr>
      <w:r>
        <w:rPr>
          <w:rFonts w:ascii="Courier New" w:cs="Courier New" w:eastAsia="Courier New" w:hAnsi="Courier New"/>
          <w:color w:val="1A1A1A"/>
          <w:sz w:val="18"/>
          <w:szCs w:val="18"/>
        </w:rPr>
        <w:t xml:space="preserve">            value.encode(),</w:t>
      </w:r>
    </w:p>
    <w:p>
      <w:pPr>
        <w:shd w:fill="F5F5F5" w:val="clear"/>
        <w:spacing w:after="80" w:line="240"/>
        <w:ind w:left="360" w:right="360"/>
      </w:pPr>
      <w:r>
        <w:rPr>
          <w:rFonts w:ascii="Courier New" w:cs="Courier New" w:eastAsia="Courier New" w:hAnsi="Courier New"/>
          <w:color w:val="1A1A1A"/>
          <w:sz w:val="18"/>
          <w:szCs w:val="18"/>
        </w:rPr>
        <w:t xml:space="preserve">            hashlib.sha256</w:t>
      </w:r>
    </w:p>
    <w:p>
      <w:pPr>
        <w:shd w:fill="F5F5F5" w:val="clear"/>
        <w:spacing w:after="80" w:line="240"/>
        <w:ind w:left="360" w:right="360"/>
      </w:pPr>
      <w:r>
        <w:rPr>
          <w:rFonts w:ascii="Courier New" w:cs="Courier New" w:eastAsia="Courier New" w:hAnsi="Courier New"/>
          <w:color w:val="1A1A1A"/>
          <w:sz w:val="18"/>
          <w:szCs w:val="18"/>
        </w:rPr>
        <w:t xml:space="preserve">        ).hexdigest()[:6].upper()</w:t>
      </w:r>
    </w:p>
    <w:p>
      <w:pPr>
        <w:shd w:fill="F5F5F5" w:val="clear"/>
        <w:spacing w:after="80" w:line="240"/>
        <w:ind w:left="360" w:right="360"/>
      </w:pPr>
      <w:r>
        <w:rPr>
          <w:rFonts w:ascii="Courier New" w:cs="Courier New" w:eastAsia="Courier New" w:hAnsi="Courier New"/>
          <w:color w:val="1A1A1A"/>
          <w:sz w:val="18"/>
          <w:szCs w:val="18"/>
        </w:rPr>
        <w:t xml:space="preserve">        token = f"[{category}-{h}]"</w:t>
      </w:r>
    </w:p>
    <w:p>
      <w:pPr>
        <w:shd w:fill="F5F5F5" w:val="clear"/>
        <w:spacing w:after="80" w:line="240"/>
        <w:ind w:left="360" w:right="360"/>
      </w:pPr>
      <w:r>
        <w:rPr>
          <w:rFonts w:ascii="Courier New" w:cs="Courier New" w:eastAsia="Courier New" w:hAnsi="Courier New"/>
          <w:color w:val="1A1A1A"/>
          <w:sz w:val="18"/>
          <w:szCs w:val="18"/>
        </w:rPr>
        <w:t xml:space="preserve">        self.token_map[value] = token</w:t>
      </w:r>
    </w:p>
    <w:p>
      <w:pPr>
        <w:shd w:fill="F5F5F5" w:val="clear"/>
        <w:spacing w:after="80" w:line="240"/>
        <w:ind w:left="360" w:right="360"/>
      </w:pPr>
      <w:r>
        <w:rPr>
          <w:rFonts w:ascii="Courier New" w:cs="Courier New" w:eastAsia="Courier New" w:hAnsi="Courier New"/>
          <w:color w:val="1A1A1A"/>
          <w:sz w:val="18"/>
          <w:szCs w:val="18"/>
        </w:rPr>
        <w:t xml:space="preserve">        self.reverse_map[token] = value</w:t>
      </w:r>
    </w:p>
    <w:p>
      <w:pPr>
        <w:shd w:fill="F5F5F5" w:val="clear"/>
        <w:spacing w:after="80" w:line="240"/>
        <w:ind w:left="360" w:right="360"/>
      </w:pPr>
      <w:r>
        <w:rPr>
          <w:rFonts w:ascii="Courier New" w:cs="Courier New" w:eastAsia="Courier New" w:hAnsi="Courier New"/>
          <w:color w:val="1A1A1A"/>
          <w:sz w:val="18"/>
          <w:szCs w:val="18"/>
        </w:rPr>
        <w:t xml:space="preserve">        return token</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    def tokenize(self, text: str) -&gt; str:</w:t>
      </w:r>
    </w:p>
    <w:p>
      <w:pPr>
        <w:shd w:fill="F5F5F5" w:val="clear"/>
        <w:spacing w:after="80" w:line="240"/>
        <w:ind w:left="360" w:right="360"/>
      </w:pPr>
      <w:r>
        <w:rPr>
          <w:rFonts w:ascii="Courier New" w:cs="Courier New" w:eastAsia="Courier New" w:hAnsi="Courier New"/>
          <w:color w:val="1A1A1A"/>
          <w:sz w:val="18"/>
          <w:szCs w:val="18"/>
        </w:rPr>
        <w:t xml:space="preserve">        # Tier 1: SSNs</w:t>
      </w:r>
    </w:p>
    <w:p>
      <w:pPr>
        <w:shd w:fill="F5F5F5" w:val="clear"/>
        <w:spacing w:after="80" w:line="240"/>
        <w:ind w:left="360" w:right="360"/>
      </w:pPr>
      <w:r>
        <w:rPr>
          <w:rFonts w:ascii="Courier New" w:cs="Courier New" w:eastAsia="Courier New" w:hAnsi="Courier New"/>
          <w:color w:val="1A1A1A"/>
          <w:sz w:val="18"/>
          <w:szCs w:val="18"/>
        </w:rPr>
        <w:t xml:space="preserve">        text = re.sub(</w:t>
      </w:r>
    </w:p>
    <w:p>
      <w:pPr>
        <w:shd w:fill="F5F5F5" w:val="clear"/>
        <w:spacing w:after="80" w:line="240"/>
        <w:ind w:left="360" w:right="360"/>
      </w:pPr>
      <w:r>
        <w:rPr>
          <w:rFonts w:ascii="Courier New" w:cs="Courier New" w:eastAsia="Courier New" w:hAnsi="Courier New"/>
          <w:color w:val="1A1A1A"/>
          <w:sz w:val="18"/>
          <w:szCs w:val="18"/>
        </w:rPr>
        <w:t xml:space="preserve">            r"\b\d{3}-\d{2}-\d{4}\b",</w:t>
      </w:r>
    </w:p>
    <w:p>
      <w:pPr>
        <w:shd w:fill="F5F5F5" w:val="clear"/>
        <w:spacing w:after="80" w:line="240"/>
        <w:ind w:left="360" w:right="360"/>
      </w:pPr>
      <w:r>
        <w:rPr>
          <w:rFonts w:ascii="Courier New" w:cs="Courier New" w:eastAsia="Courier New" w:hAnsi="Courier New"/>
          <w:color w:val="1A1A1A"/>
          <w:sz w:val="18"/>
          <w:szCs w:val="18"/>
        </w:rPr>
        <w:t xml:space="preserve">            lambda m: self._make_token(</w:t>
      </w:r>
    </w:p>
    <w:p>
      <w:pPr>
        <w:shd w:fill="F5F5F5" w:val="clear"/>
        <w:spacing w:after="80" w:line="240"/>
        <w:ind w:left="360" w:right="360"/>
      </w:pPr>
      <w:r>
        <w:rPr>
          <w:rFonts w:ascii="Courier New" w:cs="Courier New" w:eastAsia="Courier New" w:hAnsi="Courier New"/>
          <w:color w:val="1A1A1A"/>
          <w:sz w:val="18"/>
          <w:szCs w:val="18"/>
        </w:rPr>
        <w:t xml:space="preserve">                "SSN", m.group()</w:t>
      </w:r>
    </w:p>
    <w:p>
      <w:pPr>
        <w:shd w:fill="F5F5F5" w:val="clear"/>
        <w:spacing w:after="80" w:line="240"/>
        <w:ind w:left="360" w:right="360"/>
      </w:pPr>
      <w:r>
        <w:rPr>
          <w:rFonts w:ascii="Courier New" w:cs="Courier New" w:eastAsia="Courier New" w:hAnsi="Courier New"/>
          <w:color w:val="1A1A1A"/>
          <w:sz w:val="18"/>
          <w:szCs w:val="18"/>
        </w:rPr>
        <w:t xml:space="preserve">            ), text)</w:t>
      </w:r>
    </w:p>
    <w:p>
      <w:pPr>
        <w:shd w:fill="F5F5F5" w:val="clear"/>
        <w:spacing w:after="80" w:line="240"/>
        <w:ind w:left="360" w:right="360"/>
      </w:pPr>
      <w:r>
        <w:rPr>
          <w:rFonts w:ascii="Courier New" w:cs="Courier New" w:eastAsia="Courier New" w:hAnsi="Courier New"/>
          <w:color w:val="1A1A1A"/>
          <w:sz w:val="18"/>
          <w:szCs w:val="18"/>
        </w:rPr>
        <w:t xml:space="preserve">        # Tier 1: EINs</w:t>
      </w:r>
    </w:p>
    <w:p>
      <w:pPr>
        <w:shd w:fill="F5F5F5" w:val="clear"/>
        <w:spacing w:after="80" w:line="240"/>
        <w:ind w:left="360" w:right="360"/>
      </w:pPr>
      <w:r>
        <w:rPr>
          <w:rFonts w:ascii="Courier New" w:cs="Courier New" w:eastAsia="Courier New" w:hAnsi="Courier New"/>
          <w:color w:val="1A1A1A"/>
          <w:sz w:val="18"/>
          <w:szCs w:val="18"/>
        </w:rPr>
        <w:t xml:space="preserve">        text = re.sub(</w:t>
      </w:r>
    </w:p>
    <w:p>
      <w:pPr>
        <w:shd w:fill="F5F5F5" w:val="clear"/>
        <w:spacing w:after="80" w:line="240"/>
        <w:ind w:left="360" w:right="360"/>
      </w:pPr>
      <w:r>
        <w:rPr>
          <w:rFonts w:ascii="Courier New" w:cs="Courier New" w:eastAsia="Courier New" w:hAnsi="Courier New"/>
          <w:color w:val="1A1A1A"/>
          <w:sz w:val="18"/>
          <w:szCs w:val="18"/>
        </w:rPr>
        <w:t xml:space="preserve">            r"\b\d{2}-\d{7}\b",</w:t>
      </w:r>
    </w:p>
    <w:p>
      <w:pPr>
        <w:shd w:fill="F5F5F5" w:val="clear"/>
        <w:spacing w:after="80" w:line="240"/>
        <w:ind w:left="360" w:right="360"/>
      </w:pPr>
      <w:r>
        <w:rPr>
          <w:rFonts w:ascii="Courier New" w:cs="Courier New" w:eastAsia="Courier New" w:hAnsi="Courier New"/>
          <w:color w:val="1A1A1A"/>
          <w:sz w:val="18"/>
          <w:szCs w:val="18"/>
        </w:rPr>
        <w:t xml:space="preserve">            lambda m: self._make_token(</w:t>
      </w:r>
    </w:p>
    <w:p>
      <w:pPr>
        <w:shd w:fill="F5F5F5" w:val="clear"/>
        <w:spacing w:after="80" w:line="240"/>
        <w:ind w:left="360" w:right="360"/>
      </w:pPr>
      <w:r>
        <w:rPr>
          <w:rFonts w:ascii="Courier New" w:cs="Courier New" w:eastAsia="Courier New" w:hAnsi="Courier New"/>
          <w:color w:val="1A1A1A"/>
          <w:sz w:val="18"/>
          <w:szCs w:val="18"/>
        </w:rPr>
        <w:t xml:space="preserve">                "EIN", m.group()</w:t>
      </w:r>
    </w:p>
    <w:p>
      <w:pPr>
        <w:shd w:fill="F5F5F5" w:val="clear"/>
        <w:spacing w:after="80" w:line="240"/>
        <w:ind w:left="360" w:right="360"/>
      </w:pPr>
      <w:r>
        <w:rPr>
          <w:rFonts w:ascii="Courier New" w:cs="Courier New" w:eastAsia="Courier New" w:hAnsi="Courier New"/>
          <w:color w:val="1A1A1A"/>
          <w:sz w:val="18"/>
          <w:szCs w:val="18"/>
        </w:rPr>
        <w:t xml:space="preserve">            ), text)</w:t>
      </w:r>
    </w:p>
    <w:p>
      <w:pPr>
        <w:shd w:fill="F5F5F5" w:val="clear"/>
        <w:spacing w:after="80" w:line="240"/>
        <w:ind w:left="360" w:right="360"/>
      </w:pPr>
      <w:r>
        <w:rPr>
          <w:rFonts w:ascii="Courier New" w:cs="Courier New" w:eastAsia="Courier New" w:hAnsi="Courier New"/>
          <w:color w:val="1A1A1A"/>
          <w:sz w:val="18"/>
          <w:szCs w:val="18"/>
        </w:rPr>
        <w:t xml:space="preserve">        # Additional patterns: names, addresses,</w:t>
      </w:r>
    </w:p>
    <w:p>
      <w:pPr>
        <w:shd w:fill="F5F5F5" w:val="clear"/>
        <w:spacing w:after="80" w:line="240"/>
        <w:ind w:left="360" w:right="360"/>
      </w:pPr>
      <w:r>
        <w:rPr>
          <w:rFonts w:ascii="Courier New" w:cs="Courier New" w:eastAsia="Courier New" w:hAnsi="Courier New"/>
          <w:color w:val="1A1A1A"/>
          <w:sz w:val="18"/>
          <w:szCs w:val="18"/>
        </w:rPr>
        <w:t xml:space="preserve">        # bank accounts via NER + regex</w:t>
      </w:r>
    </w:p>
    <w:p>
      <w:pPr>
        <w:shd w:fill="F5F5F5" w:val="clear"/>
        <w:spacing w:after="80" w:line="240"/>
        <w:ind w:left="360" w:right="360"/>
      </w:pPr>
      <w:r>
        <w:rPr>
          <w:rFonts w:ascii="Courier New" w:cs="Courier New" w:eastAsia="Courier New" w:hAnsi="Courier New"/>
          <w:color w:val="1A1A1A"/>
          <w:sz w:val="18"/>
          <w:szCs w:val="18"/>
        </w:rPr>
        <w:t xml:space="preserve">        # (production implementation expands here)</w:t>
      </w:r>
    </w:p>
    <w:p>
      <w:pPr>
        <w:shd w:fill="F5F5F5" w:val="clear"/>
        <w:spacing w:after="80" w:line="240"/>
        <w:ind w:left="360" w:right="360"/>
      </w:pPr>
      <w:r>
        <w:rPr>
          <w:rFonts w:ascii="Courier New" w:cs="Courier New" w:eastAsia="Courier New" w:hAnsi="Courier New"/>
          <w:color w:val="1A1A1A"/>
          <w:sz w:val="18"/>
          <w:szCs w:val="18"/>
        </w:rPr>
        <w:t xml:space="preserve">        return text</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    def detokenize(self, text: str) -&gt; str:</w:t>
      </w:r>
    </w:p>
    <w:p>
      <w:pPr>
        <w:shd w:fill="F5F5F5" w:val="clear"/>
        <w:spacing w:after="80" w:line="240"/>
        <w:ind w:left="360" w:right="360"/>
      </w:pPr>
      <w:r>
        <w:rPr>
          <w:rFonts w:ascii="Courier New" w:cs="Courier New" w:eastAsia="Courier New" w:hAnsi="Courier New"/>
          <w:color w:val="1A1A1A"/>
          <w:sz w:val="18"/>
          <w:szCs w:val="18"/>
        </w:rPr>
        <w:t xml:space="preserve">        for token, original in \</w:t>
      </w:r>
    </w:p>
    <w:p>
      <w:pPr>
        <w:shd w:fill="F5F5F5" w:val="clear"/>
        <w:spacing w:after="80" w:line="240"/>
        <w:ind w:left="360" w:right="360"/>
      </w:pPr>
      <w:r>
        <w:rPr>
          <w:rFonts w:ascii="Courier New" w:cs="Courier New" w:eastAsia="Courier New" w:hAnsi="Courier New"/>
          <w:color w:val="1A1A1A"/>
          <w:sz w:val="18"/>
          <w:szCs w:val="18"/>
        </w:rPr>
        <w:t xml:space="preserve">                self.reverse_map.items():</w:t>
      </w:r>
    </w:p>
    <w:p>
      <w:pPr>
        <w:shd w:fill="F5F5F5" w:val="clear"/>
        <w:spacing w:after="80" w:line="240"/>
        <w:ind w:left="360" w:right="360"/>
      </w:pPr>
      <w:r>
        <w:rPr>
          <w:rFonts w:ascii="Courier New" w:cs="Courier New" w:eastAsia="Courier New" w:hAnsi="Courier New"/>
          <w:color w:val="1A1A1A"/>
          <w:sz w:val="18"/>
          <w:szCs w:val="18"/>
        </w:rPr>
        <w:t xml:space="preserve">            text = text.replace(token, original)</w:t>
      </w:r>
    </w:p>
    <w:p>
      <w:pPr>
        <w:shd w:fill="F5F5F5" w:val="clear"/>
        <w:spacing w:after="80" w:line="240"/>
        <w:ind w:left="360" w:right="360"/>
      </w:pPr>
      <w:r>
        <w:rPr>
          <w:rFonts w:ascii="Courier New" w:cs="Courier New" w:eastAsia="Courier New" w:hAnsi="Courier New"/>
          <w:color w:val="1A1A1A"/>
          <w:sz w:val="18"/>
          <w:szCs w:val="18"/>
        </w:rPr>
        <w:t xml:space="preserve">        return text</w:t>
      </w:r>
    </w:p>
    <w:p>
      <w:pPr>
        <w:spacing w:before="80" w:after="0"/>
      </w:pPr>
    </w:p>
    <w:p>
      <w:pPr>
        <w:pStyle w:val="Heading2"/>
        <w:spacing w:before="280" w:after="160"/>
      </w:pPr>
      <w:r>
        <w:rPr>
          <w:rFonts w:ascii="Arial" w:cs="Arial" w:eastAsia="Arial" w:hAnsi="Arial"/>
          <w:b/>
          <w:bCs/>
          <w:color w:val="2E75B6"/>
          <w:sz w:val="24"/>
          <w:szCs w:val="24"/>
        </w:rPr>
        <w:t xml:space="preserve">10.2 Claude API Integration (Python)</w:t>
      </w:r>
    </w:p>
    <w:p>
      <w:pPr>
        <w:shd w:fill="F5F5F5" w:val="clear"/>
        <w:spacing w:after="80" w:line="240"/>
        <w:ind w:left="360" w:right="360"/>
      </w:pPr>
      <w:r>
        <w:rPr>
          <w:rFonts w:ascii="Courier New" w:cs="Courier New" w:eastAsia="Courier New" w:hAnsi="Courier New"/>
          <w:color w:val="1A1A1A"/>
          <w:sz w:val="18"/>
          <w:szCs w:val="18"/>
        </w:rPr>
        <w:t xml:space="preserve">import anthropic, os, uuid, json, logging</w:t>
      </w:r>
    </w:p>
    <w:p>
      <w:pPr>
        <w:shd w:fill="F5F5F5" w:val="clear"/>
        <w:spacing w:after="80" w:line="240"/>
        <w:ind w:left="360" w:right="360"/>
      </w:pPr>
      <w:r>
        <w:rPr>
          <w:rFonts w:ascii="Courier New" w:cs="Courier New" w:eastAsia="Courier New" w:hAnsi="Courier New"/>
          <w:color w:val="1A1A1A"/>
          <w:sz w:val="18"/>
          <w:szCs w:val="18"/>
        </w:rPr>
        <w:t xml:space="preserve">from datetime import datetime, timezone</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SYSTEM_PROMPT = open(</w:t>
      </w:r>
    </w:p>
    <w:p>
      <w:pPr>
        <w:shd w:fill="F5F5F5" w:val="clear"/>
        <w:spacing w:after="80" w:line="240"/>
        <w:ind w:left="360" w:right="360"/>
      </w:pPr>
      <w:r>
        <w:rPr>
          <w:rFonts w:ascii="Courier New" w:cs="Courier New" w:eastAsia="Courier New" w:hAnsi="Courier New"/>
          <w:color w:val="1A1A1A"/>
          <w:sz w:val="18"/>
          <w:szCs w:val="18"/>
        </w:rPr>
        <w:t xml:space="preserve">    "prompts/cleared_system_v1.txt"</w:t>
      </w:r>
    </w:p>
    <w:p>
      <w:pPr>
        <w:shd w:fill="F5F5F5" w:val="clear"/>
        <w:spacing w:after="80" w:line="240"/>
        <w:ind w:left="360" w:right="360"/>
      </w:pPr>
      <w:r>
        <w:rPr>
          <w:rFonts w:ascii="Courier New" w:cs="Courier New" w:eastAsia="Courier New" w:hAnsi="Courier New"/>
          <w:color w:val="1A1A1A"/>
          <w:sz w:val="18"/>
          <w:szCs w:val="18"/>
        </w:rPr>
        <w:t xml:space="preserve">).read()</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client = anthropic.Anthropic(</w:t>
      </w:r>
    </w:p>
    <w:p>
      <w:pPr>
        <w:shd w:fill="F5F5F5" w:val="clear"/>
        <w:spacing w:after="80" w:line="240"/>
        <w:ind w:left="360" w:right="360"/>
      </w:pPr>
      <w:r>
        <w:rPr>
          <w:rFonts w:ascii="Courier New" w:cs="Courier New" w:eastAsia="Courier New" w:hAnsi="Courier New"/>
          <w:color w:val="1A1A1A"/>
          <w:sz w:val="18"/>
          <w:szCs w:val="18"/>
        </w:rPr>
        <w:t xml:space="preserve">    api_key=os.environ["CLEARED_ANTHROPIC_KEY"]</w:t>
      </w:r>
    </w:p>
    <w:p>
      <w:pPr>
        <w:shd w:fill="F5F5F5" w:val="clear"/>
        <w:spacing w:after="80" w:line="240"/>
        <w:ind w:left="360" w:right="360"/>
      </w:pPr>
      <w:r>
        <w:rPr>
          <w:rFonts w:ascii="Courier New" w:cs="Courier New" w:eastAsia="Courier New" w:hAnsi="Courier New"/>
          <w:color w:val="1A1A1A"/>
          <w:sz w:val="18"/>
          <w:szCs w:val="18"/>
        </w:rPr>
        <w:t xml:space="preserve">)</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def run_analysis(</w:t>
      </w:r>
    </w:p>
    <w:p>
      <w:pPr>
        <w:shd w:fill="F5F5F5" w:val="clear"/>
        <w:spacing w:after="80" w:line="240"/>
        <w:ind w:left="360" w:right="360"/>
      </w:pPr>
      <w:r>
        <w:rPr>
          <w:rFonts w:ascii="Courier New" w:cs="Courier New" w:eastAsia="Courier New" w:hAnsi="Courier New"/>
          <w:color w:val="1A1A1A"/>
          <w:sz w:val="18"/>
          <w:szCs w:val="18"/>
        </w:rPr>
        <w:t xml:space="preserve">    tokenized_prompt: str,</w:t>
      </w:r>
    </w:p>
    <w:p>
      <w:pPr>
        <w:shd w:fill="F5F5F5" w:val="clear"/>
        <w:spacing w:after="80" w:line="240"/>
        <w:ind w:left="360" w:right="360"/>
      </w:pPr>
      <w:r>
        <w:rPr>
          <w:rFonts w:ascii="Courier New" w:cs="Courier New" w:eastAsia="Courier New" w:hAnsi="Courier New"/>
          <w:color w:val="1A1A1A"/>
          <w:sz w:val="18"/>
          <w:szCs w:val="18"/>
        </w:rPr>
        <w:t xml:space="preserve">    task_type: str,</w:t>
      </w:r>
    </w:p>
    <w:p>
      <w:pPr>
        <w:shd w:fill="F5F5F5" w:val="clear"/>
        <w:spacing w:after="80" w:line="240"/>
        <w:ind w:left="360" w:right="360"/>
      </w:pPr>
      <w:r>
        <w:rPr>
          <w:rFonts w:ascii="Courier New" w:cs="Courier New" w:eastAsia="Courier New" w:hAnsi="Courier New"/>
          <w:color w:val="1A1A1A"/>
          <w:sz w:val="18"/>
          <w:szCs w:val="18"/>
        </w:rPr>
        <w:t xml:space="preserve">    practitioner_id: str,</w:t>
      </w:r>
    </w:p>
    <w:p>
      <w:pPr>
        <w:shd w:fill="F5F5F5" w:val="clear"/>
        <w:spacing w:after="80" w:line="240"/>
        <w:ind w:left="360" w:right="360"/>
      </w:pPr>
      <w:r>
        <w:rPr>
          <w:rFonts w:ascii="Courier New" w:cs="Courier New" w:eastAsia="Courier New" w:hAnsi="Courier New"/>
          <w:color w:val="1A1A1A"/>
          <w:sz w:val="18"/>
          <w:szCs w:val="18"/>
        </w:rPr>
        <w:t xml:space="preserve">    matter_id: str,</w:t>
      </w:r>
    </w:p>
    <w:p>
      <w:pPr>
        <w:shd w:fill="F5F5F5" w:val="clear"/>
        <w:spacing w:after="80" w:line="240"/>
        <w:ind w:left="360" w:right="360"/>
      </w:pPr>
      <w:r>
        <w:rPr>
          <w:rFonts w:ascii="Courier New" w:cs="Courier New" w:eastAsia="Courier New" w:hAnsi="Courier New"/>
          <w:color w:val="1A1A1A"/>
          <w:sz w:val="18"/>
          <w:szCs w:val="18"/>
        </w:rPr>
        <w:t xml:space="preserve">    model: str = "claude-sonnet-4-6",</w:t>
      </w:r>
    </w:p>
    <w:p>
      <w:pPr>
        <w:shd w:fill="F5F5F5" w:val="clear"/>
        <w:spacing w:after="80" w:line="240"/>
        <w:ind w:left="360" w:right="360"/>
      </w:pPr>
      <w:r>
        <w:rPr>
          <w:rFonts w:ascii="Courier New" w:cs="Courier New" w:eastAsia="Courier New" w:hAnsi="Courier New"/>
          <w:color w:val="1A1A1A"/>
          <w:sz w:val="18"/>
          <w:szCs w:val="18"/>
        </w:rPr>
        <w:t xml:space="preserve">    temperature: float = 0.1,</w:t>
      </w:r>
    </w:p>
    <w:p>
      <w:pPr>
        <w:shd w:fill="F5F5F5" w:val="clear"/>
        <w:spacing w:after="80" w:line="240"/>
        <w:ind w:left="360" w:right="360"/>
      </w:pPr>
      <w:r>
        <w:rPr>
          <w:rFonts w:ascii="Courier New" w:cs="Courier New" w:eastAsia="Courier New" w:hAnsi="Courier New"/>
          <w:color w:val="1A1A1A"/>
          <w:sz w:val="18"/>
          <w:szCs w:val="18"/>
        </w:rPr>
        <w:t xml:space="preserve">    max_tokens: int = 8192,</w:t>
      </w:r>
    </w:p>
    <w:p>
      <w:pPr>
        <w:shd w:fill="F5F5F5" w:val="clear"/>
        <w:spacing w:after="80" w:line="240"/>
        <w:ind w:left="360" w:right="360"/>
      </w:pPr>
      <w:r>
        <w:rPr>
          <w:rFonts w:ascii="Courier New" w:cs="Courier New" w:eastAsia="Courier New" w:hAnsi="Courier New"/>
          <w:color w:val="1A1A1A"/>
          <w:sz w:val="18"/>
          <w:szCs w:val="18"/>
        </w:rPr>
        <w:t xml:space="preserve">) -&gt; dict:</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    request_id = str(uuid.uuid4())</w:t>
      </w:r>
    </w:p>
    <w:p>
      <w:pPr>
        <w:shd w:fill="F5F5F5" w:val="clear"/>
        <w:spacing w:after="80" w:line="240"/>
        <w:ind w:left="360" w:right="360"/>
      </w:pPr>
      <w:r>
        <w:rPr>
          <w:rFonts w:ascii="Courier New" w:cs="Courier New" w:eastAsia="Courier New" w:hAnsi="Courier New"/>
          <w:color w:val="1A1A1A"/>
          <w:sz w:val="18"/>
          <w:szCs w:val="18"/>
        </w:rPr>
        <w:t xml:space="preserve">    timestamp = datetime.now(</w:t>
      </w:r>
    </w:p>
    <w:p>
      <w:pPr>
        <w:shd w:fill="F5F5F5" w:val="clear"/>
        <w:spacing w:after="80" w:line="240"/>
        <w:ind w:left="360" w:right="360"/>
      </w:pPr>
      <w:r>
        <w:rPr>
          <w:rFonts w:ascii="Courier New" w:cs="Courier New" w:eastAsia="Courier New" w:hAnsi="Courier New"/>
          <w:color w:val="1A1A1A"/>
          <w:sz w:val="18"/>
          <w:szCs w:val="18"/>
        </w:rPr>
        <w:t xml:space="preserve">        timezone.utc).isoformat()</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    # Pre-flight: verify no Tier 1 PII remains</w:t>
      </w:r>
    </w:p>
    <w:p>
      <w:pPr>
        <w:shd w:fill="F5F5F5" w:val="clear"/>
        <w:spacing w:after="80" w:line="240"/>
        <w:ind w:left="360" w:right="360"/>
      </w:pPr>
      <w:r>
        <w:rPr>
          <w:rFonts w:ascii="Courier New" w:cs="Courier New" w:eastAsia="Courier New" w:hAnsi="Courier New"/>
          <w:color w:val="1A1A1A"/>
          <w:sz w:val="18"/>
          <w:szCs w:val="18"/>
        </w:rPr>
        <w:t xml:space="preserve">    if contains_raw_pii(tokenized_prompt):</w:t>
      </w:r>
    </w:p>
    <w:p>
      <w:pPr>
        <w:shd w:fill="F5F5F5" w:val="clear"/>
        <w:spacing w:after="80" w:line="240"/>
        <w:ind w:left="360" w:right="360"/>
      </w:pPr>
      <w:r>
        <w:rPr>
          <w:rFonts w:ascii="Courier New" w:cs="Courier New" w:eastAsia="Courier New" w:hAnsi="Courier New"/>
          <w:color w:val="1A1A1A"/>
          <w:sz w:val="18"/>
          <w:szCs w:val="18"/>
        </w:rPr>
        <w:t xml:space="preserve">        raise SecurityError(</w:t>
      </w:r>
    </w:p>
    <w:p>
      <w:pPr>
        <w:shd w:fill="F5F5F5" w:val="clear"/>
        <w:spacing w:after="80" w:line="240"/>
        <w:ind w:left="360" w:right="360"/>
      </w:pPr>
      <w:r>
        <w:rPr>
          <w:rFonts w:ascii="Courier New" w:cs="Courier New" w:eastAsia="Courier New" w:hAnsi="Courier New"/>
          <w:color w:val="1A1A1A"/>
          <w:sz w:val="18"/>
          <w:szCs w:val="18"/>
        </w:rPr>
        <w:t xml:space="preserve">            "PII detected in tokenized payload"</w:t>
      </w:r>
    </w:p>
    <w:p>
      <w:pPr>
        <w:shd w:fill="F5F5F5" w:val="clear"/>
        <w:spacing w:after="80" w:line="240"/>
        <w:ind w:left="360" w:right="360"/>
      </w:pPr>
      <w:r>
        <w:rPr>
          <w:rFonts w:ascii="Courier New" w:cs="Courier New" w:eastAsia="Courier New" w:hAnsi="Courier New"/>
          <w:color w:val="1A1A1A"/>
          <w:sz w:val="18"/>
          <w:szCs w:val="18"/>
        </w:rPr>
        <w:t xml:space="preserve">        )</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    response = client.messages.create(</w:t>
      </w:r>
    </w:p>
    <w:p>
      <w:pPr>
        <w:shd w:fill="F5F5F5" w:val="clear"/>
        <w:spacing w:after="80" w:line="240"/>
        <w:ind w:left="360" w:right="360"/>
      </w:pPr>
      <w:r>
        <w:rPr>
          <w:rFonts w:ascii="Courier New" w:cs="Courier New" w:eastAsia="Courier New" w:hAnsi="Courier New"/>
          <w:color w:val="1A1A1A"/>
          <w:sz w:val="18"/>
          <w:szCs w:val="18"/>
        </w:rPr>
        <w:t xml:space="preserve">        model=model,</w:t>
      </w:r>
    </w:p>
    <w:p>
      <w:pPr>
        <w:shd w:fill="F5F5F5" w:val="clear"/>
        <w:spacing w:after="80" w:line="240"/>
        <w:ind w:left="360" w:right="360"/>
      </w:pPr>
      <w:r>
        <w:rPr>
          <w:rFonts w:ascii="Courier New" w:cs="Courier New" w:eastAsia="Courier New" w:hAnsi="Courier New"/>
          <w:color w:val="1A1A1A"/>
          <w:sz w:val="18"/>
          <w:szCs w:val="18"/>
        </w:rPr>
        <w:t xml:space="preserve">        max_tokens=max_tokens,</w:t>
      </w:r>
    </w:p>
    <w:p>
      <w:pPr>
        <w:shd w:fill="F5F5F5" w:val="clear"/>
        <w:spacing w:after="80" w:line="240"/>
        <w:ind w:left="360" w:right="360"/>
      </w:pPr>
      <w:r>
        <w:rPr>
          <w:rFonts w:ascii="Courier New" w:cs="Courier New" w:eastAsia="Courier New" w:hAnsi="Courier New"/>
          <w:color w:val="1A1A1A"/>
          <w:sz w:val="18"/>
          <w:szCs w:val="18"/>
        </w:rPr>
        <w:t xml:space="preserve">        temperature=temperature,</w:t>
      </w:r>
    </w:p>
    <w:p>
      <w:pPr>
        <w:shd w:fill="F5F5F5" w:val="clear"/>
        <w:spacing w:after="80" w:line="240"/>
        <w:ind w:left="360" w:right="360"/>
      </w:pPr>
      <w:r>
        <w:rPr>
          <w:rFonts w:ascii="Courier New" w:cs="Courier New" w:eastAsia="Courier New" w:hAnsi="Courier New"/>
          <w:color w:val="1A1A1A"/>
          <w:sz w:val="18"/>
          <w:szCs w:val="18"/>
        </w:rPr>
        <w:t xml:space="preserve">        system=SYSTEM_PROMPT,</w:t>
      </w:r>
    </w:p>
    <w:p>
      <w:pPr>
        <w:shd w:fill="F5F5F5" w:val="clear"/>
        <w:spacing w:after="80" w:line="240"/>
        <w:ind w:left="360" w:right="360"/>
      </w:pPr>
      <w:r>
        <w:rPr>
          <w:rFonts w:ascii="Courier New" w:cs="Courier New" w:eastAsia="Courier New" w:hAnsi="Courier New"/>
          <w:color w:val="1A1A1A"/>
          <w:sz w:val="18"/>
          <w:szCs w:val="18"/>
        </w:rPr>
        <w:t xml:space="preserve">        messages=[{</w:t>
      </w:r>
    </w:p>
    <w:p>
      <w:pPr>
        <w:shd w:fill="F5F5F5" w:val="clear"/>
        <w:spacing w:after="80" w:line="240"/>
        <w:ind w:left="360" w:right="360"/>
      </w:pPr>
      <w:r>
        <w:rPr>
          <w:rFonts w:ascii="Courier New" w:cs="Courier New" w:eastAsia="Courier New" w:hAnsi="Courier New"/>
          <w:color w:val="1A1A1A"/>
          <w:sz w:val="18"/>
          <w:szCs w:val="18"/>
        </w:rPr>
        <w:t xml:space="preserve">            "role": "user",</w:t>
      </w:r>
    </w:p>
    <w:p>
      <w:pPr>
        <w:shd w:fill="F5F5F5" w:val="clear"/>
        <w:spacing w:after="80" w:line="240"/>
        <w:ind w:left="360" w:right="360"/>
      </w:pPr>
      <w:r>
        <w:rPr>
          <w:rFonts w:ascii="Courier New" w:cs="Courier New" w:eastAsia="Courier New" w:hAnsi="Courier New"/>
          <w:color w:val="1A1A1A"/>
          <w:sz w:val="18"/>
          <w:szCs w:val="18"/>
        </w:rPr>
        <w:t xml:space="preserve">            "content": tokenized_prompt</w:t>
      </w:r>
    </w:p>
    <w:p>
      <w:pPr>
        <w:shd w:fill="F5F5F5" w:val="clear"/>
        <w:spacing w:after="80" w:line="240"/>
        <w:ind w:left="360" w:right="360"/>
      </w:pPr>
      <w:r>
        <w:rPr>
          <w:rFonts w:ascii="Courier New" w:cs="Courier New" w:eastAsia="Courier New" w:hAnsi="Courier New"/>
          <w:color w:val="1A1A1A"/>
          <w:sz w:val="18"/>
          <w:szCs w:val="18"/>
        </w:rPr>
        <w:t xml:space="preserve">        }],</w:t>
      </w:r>
    </w:p>
    <w:p>
      <w:pPr>
        <w:shd w:fill="F5F5F5" w:val="clear"/>
        <w:spacing w:after="80" w:line="240"/>
        <w:ind w:left="360" w:right="360"/>
      </w:pPr>
      <w:r>
        <w:rPr>
          <w:rFonts w:ascii="Courier New" w:cs="Courier New" w:eastAsia="Courier New" w:hAnsi="Courier New"/>
          <w:color w:val="1A1A1A"/>
          <w:sz w:val="18"/>
          <w:szCs w:val="18"/>
        </w:rPr>
        <w:t xml:space="preserve">    )</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    result = response.content[0].text</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    # Log the full interaction (tokenized)</w:t>
      </w:r>
    </w:p>
    <w:p>
      <w:pPr>
        <w:shd w:fill="F5F5F5" w:val="clear"/>
        <w:spacing w:after="80" w:line="240"/>
        <w:ind w:left="360" w:right="360"/>
      </w:pPr>
      <w:r>
        <w:rPr>
          <w:rFonts w:ascii="Courier New" w:cs="Courier New" w:eastAsia="Courier New" w:hAnsi="Courier New"/>
          <w:color w:val="1A1A1A"/>
          <w:sz w:val="18"/>
          <w:szCs w:val="18"/>
        </w:rPr>
        <w:t xml:space="preserve">    audit_log.write({</w:t>
      </w:r>
    </w:p>
    <w:p>
      <w:pPr>
        <w:shd w:fill="F5F5F5" w:val="clear"/>
        <w:spacing w:after="80" w:line="240"/>
        <w:ind w:left="360" w:right="360"/>
      </w:pPr>
      <w:r>
        <w:rPr>
          <w:rFonts w:ascii="Courier New" w:cs="Courier New" w:eastAsia="Courier New" w:hAnsi="Courier New"/>
          <w:color w:val="1A1A1A"/>
          <w:sz w:val="18"/>
          <w:szCs w:val="18"/>
        </w:rPr>
        <w:t xml:space="preserve">        "request_id": request_id,</w:t>
      </w:r>
    </w:p>
    <w:p>
      <w:pPr>
        <w:shd w:fill="F5F5F5" w:val="clear"/>
        <w:spacing w:after="80" w:line="240"/>
        <w:ind w:left="360" w:right="360"/>
      </w:pPr>
      <w:r>
        <w:rPr>
          <w:rFonts w:ascii="Courier New" w:cs="Courier New" w:eastAsia="Courier New" w:hAnsi="Courier New"/>
          <w:color w:val="1A1A1A"/>
          <w:sz w:val="18"/>
          <w:szCs w:val="18"/>
        </w:rPr>
        <w:t xml:space="preserve">        "timestamp": timestamp,</w:t>
      </w:r>
    </w:p>
    <w:p>
      <w:pPr>
        <w:shd w:fill="F5F5F5" w:val="clear"/>
        <w:spacing w:after="80" w:line="240"/>
        <w:ind w:left="360" w:right="360"/>
      </w:pPr>
      <w:r>
        <w:rPr>
          <w:rFonts w:ascii="Courier New" w:cs="Courier New" w:eastAsia="Courier New" w:hAnsi="Courier New"/>
          <w:color w:val="1A1A1A"/>
          <w:sz w:val="18"/>
          <w:szCs w:val="18"/>
        </w:rPr>
        <w:t xml:space="preserve">        "practitioner_id": practitioner_id,</w:t>
      </w:r>
    </w:p>
    <w:p>
      <w:pPr>
        <w:shd w:fill="F5F5F5" w:val="clear"/>
        <w:spacing w:after="80" w:line="240"/>
        <w:ind w:left="360" w:right="360"/>
      </w:pPr>
      <w:r>
        <w:rPr>
          <w:rFonts w:ascii="Courier New" w:cs="Courier New" w:eastAsia="Courier New" w:hAnsi="Courier New"/>
          <w:color w:val="1A1A1A"/>
          <w:sz w:val="18"/>
          <w:szCs w:val="18"/>
        </w:rPr>
        <w:t xml:space="preserve">        "matter_id": matter_id,</w:t>
      </w:r>
    </w:p>
    <w:p>
      <w:pPr>
        <w:shd w:fill="F5F5F5" w:val="clear"/>
        <w:spacing w:after="80" w:line="240"/>
        <w:ind w:left="360" w:right="360"/>
      </w:pPr>
      <w:r>
        <w:rPr>
          <w:rFonts w:ascii="Courier New" w:cs="Courier New" w:eastAsia="Courier New" w:hAnsi="Courier New"/>
          <w:color w:val="1A1A1A"/>
          <w:sz w:val="18"/>
          <w:szCs w:val="18"/>
        </w:rPr>
        <w:t xml:space="preserve">        "task_type": task_type,</w:t>
      </w:r>
    </w:p>
    <w:p>
      <w:pPr>
        <w:shd w:fill="F5F5F5" w:val="clear"/>
        <w:spacing w:after="80" w:line="240"/>
        <w:ind w:left="360" w:right="360"/>
      </w:pPr>
      <w:r>
        <w:rPr>
          <w:rFonts w:ascii="Courier New" w:cs="Courier New" w:eastAsia="Courier New" w:hAnsi="Courier New"/>
          <w:color w:val="1A1A1A"/>
          <w:sz w:val="18"/>
          <w:szCs w:val="18"/>
        </w:rPr>
        <w:t xml:space="preserve">        "model": model,</w:t>
      </w:r>
    </w:p>
    <w:p>
      <w:pPr>
        <w:shd w:fill="F5F5F5" w:val="clear"/>
        <w:spacing w:after="80" w:line="240"/>
        <w:ind w:left="360" w:right="360"/>
      </w:pPr>
      <w:r>
        <w:rPr>
          <w:rFonts w:ascii="Courier New" w:cs="Courier New" w:eastAsia="Courier New" w:hAnsi="Courier New"/>
          <w:color w:val="1A1A1A"/>
          <w:sz w:val="18"/>
          <w:szCs w:val="18"/>
        </w:rPr>
        <w:t xml:space="preserve">        "temperature": temperature,</w:t>
      </w:r>
    </w:p>
    <w:p>
      <w:pPr>
        <w:shd w:fill="F5F5F5" w:val="clear"/>
        <w:spacing w:after="80" w:line="240"/>
        <w:ind w:left="360" w:right="360"/>
      </w:pPr>
      <w:r>
        <w:rPr>
          <w:rFonts w:ascii="Courier New" w:cs="Courier New" w:eastAsia="Courier New" w:hAnsi="Courier New"/>
          <w:color w:val="1A1A1A"/>
          <w:sz w:val="18"/>
          <w:szCs w:val="18"/>
        </w:rPr>
        <w:t xml:space="preserve">        "system_prompt_version": PROMPT_GIT_HASH,</w:t>
      </w:r>
    </w:p>
    <w:p>
      <w:pPr>
        <w:shd w:fill="F5F5F5" w:val="clear"/>
        <w:spacing w:after="80" w:line="240"/>
        <w:ind w:left="360" w:right="360"/>
      </w:pPr>
      <w:r>
        <w:rPr>
          <w:rFonts w:ascii="Courier New" w:cs="Courier New" w:eastAsia="Courier New" w:hAnsi="Courier New"/>
          <w:color w:val="1A1A1A"/>
          <w:sz w:val="18"/>
          <w:szCs w:val="18"/>
        </w:rPr>
        <w:t xml:space="preserve">        "tokenized_input": tokenized_prompt,</w:t>
      </w:r>
    </w:p>
    <w:p>
      <w:pPr>
        <w:shd w:fill="F5F5F5" w:val="clear"/>
        <w:spacing w:after="80" w:line="240"/>
        <w:ind w:left="360" w:right="360"/>
      </w:pPr>
      <w:r>
        <w:rPr>
          <w:rFonts w:ascii="Courier New" w:cs="Courier New" w:eastAsia="Courier New" w:hAnsi="Courier New"/>
          <w:color w:val="1A1A1A"/>
          <w:sz w:val="18"/>
          <w:szCs w:val="18"/>
        </w:rPr>
        <w:t xml:space="preserve">        "tokenized_output": result,</w:t>
      </w:r>
    </w:p>
    <w:p>
      <w:pPr>
        <w:shd w:fill="F5F5F5" w:val="clear"/>
        <w:spacing w:after="80" w:line="240"/>
        <w:ind w:left="360" w:right="360"/>
      </w:pPr>
      <w:r>
        <w:rPr>
          <w:rFonts w:ascii="Courier New" w:cs="Courier New" w:eastAsia="Courier New" w:hAnsi="Courier New"/>
          <w:color w:val="1A1A1A"/>
          <w:sz w:val="18"/>
          <w:szCs w:val="18"/>
        </w:rPr>
        <w:t xml:space="preserve">        "verify_flags": count_flags(</w:t>
      </w:r>
    </w:p>
    <w:p>
      <w:pPr>
        <w:shd w:fill="F5F5F5" w:val="clear"/>
        <w:spacing w:after="80" w:line="240"/>
        <w:ind w:left="360" w:right="360"/>
      </w:pPr>
      <w:r>
        <w:rPr>
          <w:rFonts w:ascii="Courier New" w:cs="Courier New" w:eastAsia="Courier New" w:hAnsi="Courier New"/>
          <w:color w:val="1A1A1A"/>
          <w:sz w:val="18"/>
          <w:szCs w:val="18"/>
        </w:rPr>
        <w:t xml:space="preserve">            result, "[VERIFY:"),</w:t>
      </w:r>
    </w:p>
    <w:p>
      <w:pPr>
        <w:shd w:fill="F5F5F5" w:val="clear"/>
        <w:spacing w:after="80" w:line="240"/>
        <w:ind w:left="360" w:right="360"/>
      </w:pPr>
      <w:r>
        <w:rPr>
          <w:rFonts w:ascii="Courier New" w:cs="Courier New" w:eastAsia="Courier New" w:hAnsi="Courier New"/>
          <w:color w:val="1A1A1A"/>
          <w:sz w:val="18"/>
          <w:szCs w:val="18"/>
        </w:rPr>
        <w:t xml:space="preserve">        "judgment_flags": count_flags(</w:t>
      </w:r>
    </w:p>
    <w:p>
      <w:pPr>
        <w:shd w:fill="F5F5F5" w:val="clear"/>
        <w:spacing w:after="80" w:line="240"/>
        <w:ind w:left="360" w:right="360"/>
      </w:pPr>
      <w:r>
        <w:rPr>
          <w:rFonts w:ascii="Courier New" w:cs="Courier New" w:eastAsia="Courier New" w:hAnsi="Courier New"/>
          <w:color w:val="1A1A1A"/>
          <w:sz w:val="18"/>
          <w:szCs w:val="18"/>
        </w:rPr>
        <w:t xml:space="preserve">            result, "[PRACTITIONER JUDGMENT:"),</w:t>
      </w:r>
    </w:p>
    <w:p>
      <w:pPr>
        <w:shd w:fill="F5F5F5" w:val="clear"/>
        <w:spacing w:after="80" w:line="240"/>
        <w:ind w:left="360" w:right="360"/>
      </w:pPr>
      <w:r>
        <w:rPr>
          <w:rFonts w:ascii="Courier New" w:cs="Courier New" w:eastAsia="Courier New" w:hAnsi="Courier New"/>
          <w:color w:val="1A1A1A"/>
          <w:sz w:val="18"/>
          <w:szCs w:val="18"/>
        </w:rPr>
        <w:t xml:space="preserve">    })</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    return {</w:t>
      </w:r>
    </w:p>
    <w:p>
      <w:pPr>
        <w:shd w:fill="F5F5F5" w:val="clear"/>
        <w:spacing w:after="80" w:line="240"/>
        <w:ind w:left="360" w:right="360"/>
      </w:pPr>
      <w:r>
        <w:rPr>
          <w:rFonts w:ascii="Courier New" w:cs="Courier New" w:eastAsia="Courier New" w:hAnsi="Courier New"/>
          <w:color w:val="1A1A1A"/>
          <w:sz w:val="18"/>
          <w:szCs w:val="18"/>
        </w:rPr>
        <w:t xml:space="preserve">        "request_id": request_id,</w:t>
      </w:r>
    </w:p>
    <w:p>
      <w:pPr>
        <w:shd w:fill="F5F5F5" w:val="clear"/>
        <w:spacing w:after="80" w:line="240"/>
        <w:ind w:left="360" w:right="360"/>
      </w:pPr>
      <w:r>
        <w:rPr>
          <w:rFonts w:ascii="Courier New" w:cs="Courier New" w:eastAsia="Courier New" w:hAnsi="Courier New"/>
          <w:color w:val="1A1A1A"/>
          <w:sz w:val="18"/>
          <w:szCs w:val="18"/>
        </w:rPr>
        <w:t xml:space="preserve">        "output": result,</w:t>
      </w:r>
    </w:p>
    <w:p>
      <w:pPr>
        <w:shd w:fill="F5F5F5" w:val="clear"/>
        <w:spacing w:after="80" w:line="240"/>
        <w:ind w:left="360" w:right="360"/>
      </w:pPr>
      <w:r>
        <w:rPr>
          <w:rFonts w:ascii="Courier New" w:cs="Courier New" w:eastAsia="Courier New" w:hAnsi="Courier New"/>
          <w:color w:val="1A1A1A"/>
          <w:sz w:val="18"/>
          <w:szCs w:val="18"/>
        </w:rPr>
        <w:t xml:space="preserve">        "model": model,</w:t>
      </w:r>
    </w:p>
    <w:p>
      <w:pPr>
        <w:shd w:fill="F5F5F5" w:val="clear"/>
        <w:spacing w:after="80" w:line="240"/>
        <w:ind w:left="360" w:right="360"/>
      </w:pPr>
      <w:r>
        <w:rPr>
          <w:rFonts w:ascii="Courier New" w:cs="Courier New" w:eastAsia="Courier New" w:hAnsi="Courier New"/>
          <w:color w:val="1A1A1A"/>
          <w:sz w:val="18"/>
          <w:szCs w:val="18"/>
        </w:rPr>
        <w:t xml:space="preserve">        "verify_count": count_flags(</w:t>
      </w:r>
    </w:p>
    <w:p>
      <w:pPr>
        <w:shd w:fill="F5F5F5" w:val="clear"/>
        <w:spacing w:after="80" w:line="240"/>
        <w:ind w:left="360" w:right="360"/>
      </w:pPr>
      <w:r>
        <w:rPr>
          <w:rFonts w:ascii="Courier New" w:cs="Courier New" w:eastAsia="Courier New" w:hAnsi="Courier New"/>
          <w:color w:val="1A1A1A"/>
          <w:sz w:val="18"/>
          <w:szCs w:val="18"/>
        </w:rPr>
        <w:t xml:space="preserve">            result, "[VERIFY:"),</w:t>
      </w:r>
    </w:p>
    <w:p>
      <w:pPr>
        <w:shd w:fill="F5F5F5" w:val="clear"/>
        <w:spacing w:after="80" w:line="240"/>
        <w:ind w:left="360" w:right="360"/>
      </w:pPr>
      <w:r>
        <w:rPr>
          <w:rFonts w:ascii="Courier New" w:cs="Courier New" w:eastAsia="Courier New" w:hAnsi="Courier New"/>
          <w:color w:val="1A1A1A"/>
          <w:sz w:val="18"/>
          <w:szCs w:val="18"/>
        </w:rPr>
        <w:t xml:space="preserve">        "judgment_count": count_flags(</w:t>
      </w:r>
    </w:p>
    <w:p>
      <w:pPr>
        <w:shd w:fill="F5F5F5" w:val="clear"/>
        <w:spacing w:after="80" w:line="240"/>
        <w:ind w:left="360" w:right="360"/>
      </w:pPr>
      <w:r>
        <w:rPr>
          <w:rFonts w:ascii="Courier New" w:cs="Courier New" w:eastAsia="Courier New" w:hAnsi="Courier New"/>
          <w:color w:val="1A1A1A"/>
          <w:sz w:val="18"/>
          <w:szCs w:val="18"/>
        </w:rPr>
        <w:t xml:space="preserve">            result, "[PRACTITIONER JUDGMENT:"),</w:t>
      </w:r>
    </w:p>
    <w:p>
      <w:pPr>
        <w:shd w:fill="F5F5F5" w:val="clear"/>
        <w:spacing w:after="80" w:line="240"/>
        <w:ind w:left="360" w:right="360"/>
      </w:pPr>
      <w:r>
        <w:rPr>
          <w:rFonts w:ascii="Courier New" w:cs="Courier New" w:eastAsia="Courier New" w:hAnsi="Courier New"/>
          <w:color w:val="1A1A1A"/>
          <w:sz w:val="18"/>
          <w:szCs w:val="18"/>
        </w:rPr>
        <w:t xml:space="preserve">    }</w:t>
      </w:r>
    </w:p>
    <w:p>
      <w:pPr>
        <w:spacing w:before="80" w:after="0"/>
      </w:pPr>
    </w:p>
    <w:p>
      <w:pPr>
        <w:pStyle w:val="Heading2"/>
        <w:spacing w:before="280" w:after="160"/>
      </w:pPr>
      <w:r>
        <w:rPr>
          <w:rFonts w:ascii="Arial" w:cs="Arial" w:eastAsia="Arial" w:hAnsi="Arial"/>
          <w:b/>
          <w:bCs/>
          <w:color w:val="2E75B6"/>
          <w:sz w:val="24"/>
          <w:szCs w:val="24"/>
        </w:rPr>
        <w:t xml:space="preserve">10.3 Review Queue Entry (Python)</w:t>
      </w:r>
    </w:p>
    <w:p>
      <w:pPr>
        <w:shd w:fill="F5F5F5" w:val="clear"/>
        <w:spacing w:after="80" w:line="240"/>
        <w:ind w:left="360" w:right="360"/>
      </w:pPr>
      <w:r>
        <w:rPr>
          <w:rFonts w:ascii="Courier New" w:cs="Courier New" w:eastAsia="Courier New" w:hAnsi="Courier New"/>
          <w:color w:val="1A1A1A"/>
          <w:sz w:val="18"/>
          <w:szCs w:val="18"/>
        </w:rPr>
        <w:t xml:space="preserve">def submit_for_review(</w:t>
      </w:r>
    </w:p>
    <w:p>
      <w:pPr>
        <w:shd w:fill="F5F5F5" w:val="clear"/>
        <w:spacing w:after="80" w:line="240"/>
        <w:ind w:left="360" w:right="360"/>
      </w:pPr>
      <w:r>
        <w:rPr>
          <w:rFonts w:ascii="Courier New" w:cs="Courier New" w:eastAsia="Courier New" w:hAnsi="Courier New"/>
          <w:color w:val="1A1A1A"/>
          <w:sz w:val="18"/>
          <w:szCs w:val="18"/>
        </w:rPr>
        <w:t xml:space="preserve">    analysis_result: dict,</w:t>
      </w:r>
    </w:p>
    <w:p>
      <w:pPr>
        <w:shd w:fill="F5F5F5" w:val="clear"/>
        <w:spacing w:after="80" w:line="240"/>
        <w:ind w:left="360" w:right="360"/>
      </w:pPr>
      <w:r>
        <w:rPr>
          <w:rFonts w:ascii="Courier New" w:cs="Courier New" w:eastAsia="Courier New" w:hAnsi="Courier New"/>
          <w:color w:val="1A1A1A"/>
          <w:sz w:val="18"/>
          <w:szCs w:val="18"/>
        </w:rPr>
        <w:t xml:space="preserve">    tokenizer: PIITokenizer,</w:t>
      </w:r>
    </w:p>
    <w:p>
      <w:pPr>
        <w:shd w:fill="F5F5F5" w:val="clear"/>
        <w:spacing w:after="80" w:line="240"/>
        <w:ind w:left="360" w:right="360"/>
      </w:pPr>
      <w:r>
        <w:rPr>
          <w:rFonts w:ascii="Courier New" w:cs="Courier New" w:eastAsia="Courier New" w:hAnsi="Courier New"/>
          <w:color w:val="1A1A1A"/>
          <w:sz w:val="18"/>
          <w:szCs w:val="18"/>
        </w:rPr>
        <w:t xml:space="preserve">    practitioner_id: str,</w:t>
      </w:r>
    </w:p>
    <w:p>
      <w:pPr>
        <w:shd w:fill="F5F5F5" w:val="clear"/>
        <w:spacing w:after="80" w:line="240"/>
        <w:ind w:left="360" w:right="360"/>
      </w:pPr>
      <w:r>
        <w:rPr>
          <w:rFonts w:ascii="Courier New" w:cs="Courier New" w:eastAsia="Courier New" w:hAnsi="Courier New"/>
          <w:color w:val="1A1A1A"/>
          <w:sz w:val="18"/>
          <w:szCs w:val="18"/>
        </w:rPr>
        <w:t xml:space="preserve">    matter_id: str,</w:t>
      </w:r>
    </w:p>
    <w:p>
      <w:pPr>
        <w:shd w:fill="F5F5F5" w:val="clear"/>
        <w:spacing w:after="80" w:line="240"/>
        <w:ind w:left="360" w:right="360"/>
      </w:pPr>
      <w:r>
        <w:rPr>
          <w:rFonts w:ascii="Courier New" w:cs="Courier New" w:eastAsia="Courier New" w:hAnsi="Courier New"/>
          <w:color w:val="1A1A1A"/>
          <w:sz w:val="18"/>
          <w:szCs w:val="18"/>
        </w:rPr>
        <w:t xml:space="preserve">    priority: str,</w:t>
      </w:r>
    </w:p>
    <w:p>
      <w:pPr>
        <w:shd w:fill="F5F5F5" w:val="clear"/>
        <w:spacing w:after="80" w:line="240"/>
        <w:ind w:left="360" w:right="360"/>
      </w:pPr>
      <w:r>
        <w:rPr>
          <w:rFonts w:ascii="Courier New" w:cs="Courier New" w:eastAsia="Courier New" w:hAnsi="Courier New"/>
          <w:color w:val="1A1A1A"/>
          <w:sz w:val="18"/>
          <w:szCs w:val="18"/>
        </w:rPr>
        <w:t xml:space="preserve">) -&gt; str:</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    # De-tokenize for practitioner review</w:t>
      </w:r>
    </w:p>
    <w:p>
      <w:pPr>
        <w:shd w:fill="F5F5F5" w:val="clear"/>
        <w:spacing w:after="80" w:line="240"/>
        <w:ind w:left="360" w:right="360"/>
      </w:pPr>
      <w:r>
        <w:rPr>
          <w:rFonts w:ascii="Courier New" w:cs="Courier New" w:eastAsia="Courier New" w:hAnsi="Courier New"/>
          <w:color w:val="1A1A1A"/>
          <w:sz w:val="18"/>
          <w:szCs w:val="18"/>
        </w:rPr>
        <w:t xml:space="preserve">    readable_output = tokenizer.detokenize(</w:t>
      </w:r>
    </w:p>
    <w:p>
      <w:pPr>
        <w:shd w:fill="F5F5F5" w:val="clear"/>
        <w:spacing w:after="80" w:line="240"/>
        <w:ind w:left="360" w:right="360"/>
      </w:pPr>
      <w:r>
        <w:rPr>
          <w:rFonts w:ascii="Courier New" w:cs="Courier New" w:eastAsia="Courier New" w:hAnsi="Courier New"/>
          <w:color w:val="1A1A1A"/>
          <w:sz w:val="18"/>
          <w:szCs w:val="18"/>
        </w:rPr>
        <w:t xml:space="preserve">        analysis_result["output"]</w:t>
      </w:r>
    </w:p>
    <w:p>
      <w:pPr>
        <w:shd w:fill="F5F5F5" w:val="clear"/>
        <w:spacing w:after="80" w:line="240"/>
        <w:ind w:left="360" w:right="360"/>
      </w:pPr>
      <w:r>
        <w:rPr>
          <w:rFonts w:ascii="Courier New" w:cs="Courier New" w:eastAsia="Courier New" w:hAnsi="Courier New"/>
          <w:color w:val="1A1A1A"/>
          <w:sz w:val="18"/>
          <w:szCs w:val="18"/>
        </w:rPr>
        <w:t xml:space="preserve">    )</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    review_item = ReviewQueueItem(</w:t>
      </w:r>
    </w:p>
    <w:p>
      <w:pPr>
        <w:shd w:fill="F5F5F5" w:val="clear"/>
        <w:spacing w:after="80" w:line="240"/>
        <w:ind w:left="360" w:right="360"/>
      </w:pPr>
      <w:r>
        <w:rPr>
          <w:rFonts w:ascii="Courier New" w:cs="Courier New" w:eastAsia="Courier New" w:hAnsi="Courier New"/>
          <w:color w:val="1A1A1A"/>
          <w:sz w:val="18"/>
          <w:szCs w:val="18"/>
        </w:rPr>
        <w:t xml:space="preserve">        task_id=generate_task_id(),</w:t>
      </w:r>
    </w:p>
    <w:p>
      <w:pPr>
        <w:shd w:fill="F5F5F5" w:val="clear"/>
        <w:spacing w:after="80" w:line="240"/>
        <w:ind w:left="360" w:right="360"/>
      </w:pPr>
      <w:r>
        <w:rPr>
          <w:rFonts w:ascii="Courier New" w:cs="Courier New" w:eastAsia="Courier New" w:hAnsi="Courier New"/>
          <w:color w:val="1A1A1A"/>
          <w:sz w:val="18"/>
          <w:szCs w:val="18"/>
        </w:rPr>
        <w:t xml:space="preserve">        request_id=analysis_result["request_id"],</w:t>
      </w:r>
    </w:p>
    <w:p>
      <w:pPr>
        <w:shd w:fill="F5F5F5" w:val="clear"/>
        <w:spacing w:after="80" w:line="240"/>
        <w:ind w:left="360" w:right="360"/>
      </w:pPr>
      <w:r>
        <w:rPr>
          <w:rFonts w:ascii="Courier New" w:cs="Courier New" w:eastAsia="Courier New" w:hAnsi="Courier New"/>
          <w:color w:val="1A1A1A"/>
          <w:sz w:val="18"/>
          <w:szCs w:val="18"/>
        </w:rPr>
        <w:t xml:space="preserve">        practitioner_id=practitioner_id,</w:t>
      </w:r>
    </w:p>
    <w:p>
      <w:pPr>
        <w:shd w:fill="F5F5F5" w:val="clear"/>
        <w:spacing w:after="80" w:line="240"/>
        <w:ind w:left="360" w:right="360"/>
      </w:pPr>
      <w:r>
        <w:rPr>
          <w:rFonts w:ascii="Courier New" w:cs="Courier New" w:eastAsia="Courier New" w:hAnsi="Courier New"/>
          <w:color w:val="1A1A1A"/>
          <w:sz w:val="18"/>
          <w:szCs w:val="18"/>
        </w:rPr>
        <w:t xml:space="preserve">        matter_id=matter_id,</w:t>
      </w:r>
    </w:p>
    <w:p>
      <w:pPr>
        <w:shd w:fill="F5F5F5" w:val="clear"/>
        <w:spacing w:after="80" w:line="240"/>
        <w:ind w:left="360" w:right="360"/>
      </w:pPr>
      <w:r>
        <w:rPr>
          <w:rFonts w:ascii="Courier New" w:cs="Courier New" w:eastAsia="Courier New" w:hAnsi="Courier New"/>
          <w:color w:val="1A1A1A"/>
          <w:sz w:val="18"/>
          <w:szCs w:val="18"/>
        </w:rPr>
        <w:t xml:space="preserve">        ai_output=readable_output,</w:t>
      </w:r>
    </w:p>
    <w:p>
      <w:pPr>
        <w:shd w:fill="F5F5F5" w:val="clear"/>
        <w:spacing w:after="80" w:line="240"/>
        <w:ind w:left="360" w:right="360"/>
      </w:pPr>
      <w:r>
        <w:rPr>
          <w:rFonts w:ascii="Courier New" w:cs="Courier New" w:eastAsia="Courier New" w:hAnsi="Courier New"/>
          <w:color w:val="1A1A1A"/>
          <w:sz w:val="18"/>
          <w:szCs w:val="18"/>
        </w:rPr>
        <w:t xml:space="preserve">        verify_flags=analysis_result[</w:t>
      </w:r>
    </w:p>
    <w:p>
      <w:pPr>
        <w:shd w:fill="F5F5F5" w:val="clear"/>
        <w:spacing w:after="80" w:line="240"/>
        <w:ind w:left="360" w:right="360"/>
      </w:pPr>
      <w:r>
        <w:rPr>
          <w:rFonts w:ascii="Courier New" w:cs="Courier New" w:eastAsia="Courier New" w:hAnsi="Courier New"/>
          <w:color w:val="1A1A1A"/>
          <w:sz w:val="18"/>
          <w:szCs w:val="18"/>
        </w:rPr>
        <w:t xml:space="preserve">            "verify_count"],</w:t>
      </w:r>
    </w:p>
    <w:p>
      <w:pPr>
        <w:shd w:fill="F5F5F5" w:val="clear"/>
        <w:spacing w:after="80" w:line="240"/>
        <w:ind w:left="360" w:right="360"/>
      </w:pPr>
      <w:r>
        <w:rPr>
          <w:rFonts w:ascii="Courier New" w:cs="Courier New" w:eastAsia="Courier New" w:hAnsi="Courier New"/>
          <w:color w:val="1A1A1A"/>
          <w:sz w:val="18"/>
          <w:szCs w:val="18"/>
        </w:rPr>
        <w:t xml:space="preserve">        judgment_flags=analysis_result[</w:t>
      </w:r>
    </w:p>
    <w:p>
      <w:pPr>
        <w:shd w:fill="F5F5F5" w:val="clear"/>
        <w:spacing w:after="80" w:line="240"/>
        <w:ind w:left="360" w:right="360"/>
      </w:pPr>
      <w:r>
        <w:rPr>
          <w:rFonts w:ascii="Courier New" w:cs="Courier New" w:eastAsia="Courier New" w:hAnsi="Courier New"/>
          <w:color w:val="1A1A1A"/>
          <w:sz w:val="18"/>
          <w:szCs w:val="18"/>
        </w:rPr>
        <w:t xml:space="preserve">            "judgment_count"],</w:t>
      </w:r>
    </w:p>
    <w:p>
      <w:pPr>
        <w:shd w:fill="F5F5F5" w:val="clear"/>
        <w:spacing w:after="80" w:line="240"/>
        <w:ind w:left="360" w:right="360"/>
      </w:pPr>
      <w:r>
        <w:rPr>
          <w:rFonts w:ascii="Courier New" w:cs="Courier New" w:eastAsia="Courier New" w:hAnsi="Courier New"/>
          <w:color w:val="1A1A1A"/>
          <w:sz w:val="18"/>
          <w:szCs w:val="18"/>
        </w:rPr>
        <w:t xml:space="preserve">        priority=priority,</w:t>
      </w:r>
    </w:p>
    <w:p>
      <w:pPr>
        <w:shd w:fill="F5F5F5" w:val="clear"/>
        <w:spacing w:after="80" w:line="240"/>
        <w:ind w:left="360" w:right="360"/>
      </w:pPr>
      <w:r>
        <w:rPr>
          <w:rFonts w:ascii="Courier New" w:cs="Courier New" w:eastAsia="Courier New" w:hAnsi="Courier New"/>
          <w:color w:val="1A1A1A"/>
          <w:sz w:val="18"/>
          <w:szCs w:val="18"/>
        </w:rPr>
        <w:t xml:space="preserve">        status="pending_review",</w:t>
      </w:r>
    </w:p>
    <w:p>
      <w:pPr>
        <w:shd w:fill="F5F5F5" w:val="clear"/>
        <w:spacing w:after="80" w:line="240"/>
        <w:ind w:left="360" w:right="360"/>
      </w:pPr>
      <w:r>
        <w:rPr>
          <w:rFonts w:ascii="Courier New" w:cs="Courier New" w:eastAsia="Courier New" w:hAnsi="Courier New"/>
          <w:color w:val="1A1A1A"/>
          <w:sz w:val="18"/>
          <w:szCs w:val="18"/>
        </w:rPr>
        <w:t xml:space="preserve">        created_at=datetime.now(timezone.utc),</w:t>
      </w:r>
    </w:p>
    <w:p>
      <w:pPr>
        <w:shd w:fill="F5F5F5" w:val="clear"/>
        <w:spacing w:after="80" w:line="240"/>
        <w:ind w:left="360" w:right="360"/>
      </w:pPr>
      <w:r>
        <w:rPr>
          <w:rFonts w:ascii="Courier New" w:cs="Courier New" w:eastAsia="Courier New" w:hAnsi="Courier New"/>
          <w:color w:val="1A1A1A"/>
          <w:sz w:val="18"/>
          <w:szCs w:val="18"/>
        </w:rPr>
        <w:t xml:space="preserve">    )</w:t>
      </w:r>
    </w:p>
    <w:p>
      <w:pPr>
        <w:shd w:fill="F5F5F5" w:val="clear"/>
        <w:spacing w:after="80" w:line="240"/>
        <w:ind w:left="360" w:right="360"/>
      </w:pPr>
      <w:r>
        <w:rPr>
          <w:rFonts w:ascii="Courier New" w:cs="Courier New" w:eastAsia="Courier New" w:hAnsi="Courier New"/>
          <w:color w:val="1A1A1A"/>
          <w:sz w:val="18"/>
          <w:szCs w:val="18"/>
        </w:rPr>
        <w:t xml:space="preserve"/>
      </w:r>
    </w:p>
    <w:p>
      <w:pPr>
        <w:shd w:fill="F5F5F5" w:val="clear"/>
        <w:spacing w:after="80" w:line="240"/>
        <w:ind w:left="360" w:right="360"/>
      </w:pPr>
      <w:r>
        <w:rPr>
          <w:rFonts w:ascii="Courier New" w:cs="Courier New" w:eastAsia="Courier New" w:hAnsi="Courier New"/>
          <w:color w:val="1A1A1A"/>
          <w:sz w:val="18"/>
          <w:szCs w:val="18"/>
        </w:rPr>
        <w:t xml:space="preserve">    db.review_queue.insert(review_item)</w:t>
      </w:r>
    </w:p>
    <w:p>
      <w:pPr>
        <w:shd w:fill="F5F5F5" w:val="clear"/>
        <w:spacing w:after="80" w:line="240"/>
        <w:ind w:left="360" w:right="360"/>
      </w:pPr>
      <w:r>
        <w:rPr>
          <w:rFonts w:ascii="Courier New" w:cs="Courier New" w:eastAsia="Courier New" w:hAnsi="Courier New"/>
          <w:color w:val="1A1A1A"/>
          <w:sz w:val="18"/>
          <w:szCs w:val="18"/>
        </w:rPr>
        <w:t xml:space="preserve">    notify_practitioner(</w:t>
      </w:r>
    </w:p>
    <w:p>
      <w:pPr>
        <w:shd w:fill="F5F5F5" w:val="clear"/>
        <w:spacing w:after="80" w:line="240"/>
        <w:ind w:left="360" w:right="360"/>
      </w:pPr>
      <w:r>
        <w:rPr>
          <w:rFonts w:ascii="Courier New" w:cs="Courier New" w:eastAsia="Courier New" w:hAnsi="Courier New"/>
          <w:color w:val="1A1A1A"/>
          <w:sz w:val="18"/>
          <w:szCs w:val="18"/>
        </w:rPr>
        <w:t xml:space="preserve">        practitioner_id, review_item</w:t>
      </w:r>
    </w:p>
    <w:p>
      <w:pPr>
        <w:shd w:fill="F5F5F5" w:val="clear"/>
        <w:spacing w:after="80" w:line="240"/>
        <w:ind w:left="360" w:right="360"/>
      </w:pPr>
      <w:r>
        <w:rPr>
          <w:rFonts w:ascii="Courier New" w:cs="Courier New" w:eastAsia="Courier New" w:hAnsi="Courier New"/>
          <w:color w:val="1A1A1A"/>
          <w:sz w:val="18"/>
          <w:szCs w:val="18"/>
        </w:rPr>
        <w:t xml:space="preserve">    )</w:t>
      </w:r>
    </w:p>
    <w:p>
      <w:pPr>
        <w:shd w:fill="F5F5F5" w:val="clear"/>
        <w:spacing w:after="80" w:line="240"/>
        <w:ind w:left="360" w:right="360"/>
      </w:pPr>
      <w:r>
        <w:rPr>
          <w:rFonts w:ascii="Courier New" w:cs="Courier New" w:eastAsia="Courier New" w:hAnsi="Courier New"/>
          <w:color w:val="1A1A1A"/>
          <w:sz w:val="18"/>
          <w:szCs w:val="18"/>
        </w:rPr>
        <w:t xml:space="preserve">    return review_item.task_id</w:t>
      </w:r>
    </w:p>
    <w:p>
      <w:pPr>
        <w:spacing w:before="80" w:after="0"/>
      </w:pPr>
    </w:p>
    <w:p>
      <w:pPr>
        <w:pBdr>
          <w:bottom w:val="single" w:color="2E75B6" w:sz="4" w:space="1"/>
        </w:pBdr>
        <w:spacing w:before="200" w:after="200"/>
      </w:pPr>
    </w:p>
    <w:p>
      <w:pPr>
        <w:pStyle w:val="Heading1"/>
        <w:spacing w:before="360" w:after="200"/>
      </w:pPr>
      <w:r>
        <w:rPr>
          <w:rFonts w:ascii="Arial" w:cs="Arial" w:eastAsia="Arial" w:hAnsi="Arial"/>
          <w:b/>
          <w:bCs/>
          <w:color w:val="1B2A4A"/>
          <w:sz w:val="28"/>
          <w:szCs w:val="28"/>
        </w:rPr>
        <w:t xml:space="preserve">11. Deployment Checklist</w:t>
      </w:r>
    </w:p>
    <w:p>
      <w:pPr>
        <w:spacing w:after="160" w:line="276"/>
      </w:pPr>
      <w:r>
        <w:rPr>
          <w:rFonts w:ascii="Arial" w:cs="Arial" w:eastAsia="Arial" w:hAnsi="Arial"/>
          <w:color w:val="1A1A1A"/>
          <w:sz w:val="21"/>
          <w:szCs w:val="21"/>
        </w:rPr>
        <w:t xml:space="preserve">The following checklist must be completed before Cleared’s Tier 1 platform goes live with client data:</w:t>
      </w:r>
    </w:p>
    <w:p>
      <w:pPr>
        <w:pStyle w:val="Heading2"/>
        <w:spacing w:before="280" w:after="160"/>
      </w:pPr>
      <w:r>
        <w:rPr>
          <w:rFonts w:ascii="Arial" w:cs="Arial" w:eastAsia="Arial" w:hAnsi="Arial"/>
          <w:b/>
          <w:bCs/>
          <w:color w:val="2E75B6"/>
          <w:sz w:val="24"/>
          <w:szCs w:val="24"/>
        </w:rPr>
        <w:t xml:space="preserve">Contractual</w:t>
      </w:r>
    </w:p>
    <w:p>
      <w:pPr>
        <w:pStyle w:val="ListParagraph"/>
        <w:numPr>
          <w:ilvl w:val="0"/>
          <w:numId w:val="5"/>
        </w:numPr>
        <w:spacing w:after="100" w:line="276"/>
      </w:pPr>
      <w:r>
        <w:rPr>
          <w:rFonts w:ascii="Arial" w:cs="Arial" w:eastAsia="Arial" w:hAnsi="Arial"/>
          <w:color w:val="1A1A1A"/>
          <w:sz w:val="21"/>
          <w:szCs w:val="21"/>
        </w:rPr>
        <w:t xml:space="preserve">Anthropic API commercial agreement executed</w:t>
      </w:r>
    </w:p>
    <w:p>
      <w:pPr>
        <w:pStyle w:val="ListParagraph"/>
        <w:numPr>
          <w:ilvl w:val="0"/>
          <w:numId w:val="5"/>
        </w:numPr>
        <w:spacing w:after="100" w:line="276"/>
      </w:pPr>
      <w:r>
        <w:rPr>
          <w:rFonts w:ascii="Arial" w:cs="Arial" w:eastAsia="Arial" w:hAnsi="Arial"/>
          <w:color w:val="1A1A1A"/>
          <w:sz w:val="21"/>
          <w:szCs w:val="21"/>
        </w:rPr>
        <w:t xml:space="preserve">Data Processing Agreement (DPA) signed with Anthropic, confirming no-training commitment and data retention terms</w:t>
      </w:r>
    </w:p>
    <w:p>
      <w:pPr>
        <w:pStyle w:val="ListParagraph"/>
        <w:numPr>
          <w:ilvl w:val="0"/>
          <w:numId w:val="5"/>
        </w:numPr>
        <w:spacing w:after="100" w:line="276"/>
      </w:pPr>
      <w:r>
        <w:rPr>
          <w:rFonts w:ascii="Arial" w:cs="Arial" w:eastAsia="Arial" w:hAnsi="Arial"/>
          <w:color w:val="1A1A1A"/>
          <w:sz w:val="21"/>
          <w:szCs w:val="21"/>
        </w:rPr>
        <w:t xml:space="preserve">Client engagement agreement template updated with AI disclosure and consent language</w:t>
      </w:r>
    </w:p>
    <w:p>
      <w:pPr>
        <w:pStyle w:val="ListParagraph"/>
        <w:numPr>
          <w:ilvl w:val="0"/>
          <w:numId w:val="5"/>
        </w:numPr>
        <w:spacing w:after="100" w:line="276"/>
      </w:pPr>
      <w:r>
        <w:rPr>
          <w:rFonts w:ascii="Arial" w:cs="Arial" w:eastAsia="Arial" w:hAnsi="Arial"/>
          <w:color w:val="1A1A1A"/>
          <w:sz w:val="21"/>
          <w:szCs w:val="21"/>
        </w:rPr>
        <w:t xml:space="preserve">Professional liability insurance reviewed and confirmed to cover AI-assisted work product</w:t>
      </w:r>
    </w:p>
    <w:p>
      <w:pPr>
        <w:pStyle w:val="Heading2"/>
        <w:spacing w:before="280" w:after="160"/>
      </w:pPr>
      <w:r>
        <w:rPr>
          <w:rFonts w:ascii="Arial" w:cs="Arial" w:eastAsia="Arial" w:hAnsi="Arial"/>
          <w:b/>
          <w:bCs/>
          <w:color w:val="2E75B6"/>
          <w:sz w:val="24"/>
          <w:szCs w:val="24"/>
        </w:rPr>
        <w:t xml:space="preserve">Technical</w:t>
      </w:r>
    </w:p>
    <w:p>
      <w:pPr>
        <w:pStyle w:val="ListParagraph"/>
        <w:numPr>
          <w:ilvl w:val="0"/>
          <w:numId w:val="5"/>
        </w:numPr>
        <w:spacing w:after="100" w:line="276"/>
      </w:pPr>
      <w:r>
        <w:rPr>
          <w:rFonts w:ascii="Arial" w:cs="Arial" w:eastAsia="Arial" w:hAnsi="Arial"/>
          <w:color w:val="1A1A1A"/>
          <w:sz w:val="21"/>
          <w:szCs w:val="21"/>
        </w:rPr>
        <w:t xml:space="preserve">PII tokenization engine deployed and tested against 50+ sample IRS transcripts with zero PII leakage</w:t>
      </w:r>
    </w:p>
    <w:p>
      <w:pPr>
        <w:pStyle w:val="ListParagraph"/>
        <w:numPr>
          <w:ilvl w:val="0"/>
          <w:numId w:val="5"/>
        </w:numPr>
        <w:spacing w:after="100" w:line="276"/>
      </w:pPr>
      <w:r>
        <w:rPr>
          <w:rFonts w:ascii="Arial" w:cs="Arial" w:eastAsia="Arial" w:hAnsi="Arial"/>
          <w:color w:val="1A1A1A"/>
          <w:sz w:val="21"/>
          <w:szCs w:val="21"/>
        </w:rPr>
        <w:t xml:space="preserve">Claude API integration deployed with proper error handling, retry logic, and monitoring</w:t>
      </w:r>
    </w:p>
    <w:p>
      <w:pPr>
        <w:pStyle w:val="ListParagraph"/>
        <w:numPr>
          <w:ilvl w:val="0"/>
          <w:numId w:val="5"/>
        </w:numPr>
        <w:spacing w:after="100" w:line="276"/>
      </w:pPr>
      <w:r>
        <w:rPr>
          <w:rFonts w:ascii="Arial" w:cs="Arial" w:eastAsia="Arial" w:hAnsi="Arial"/>
          <w:color w:val="1A1A1A"/>
          <w:sz w:val="21"/>
          <w:szCs w:val="21"/>
        </w:rPr>
        <w:t xml:space="preserve">Audit logging infrastructure operational with encryption, access controls, and hash-chain integrity</w:t>
      </w:r>
    </w:p>
    <w:p>
      <w:pPr>
        <w:pStyle w:val="ListParagraph"/>
        <w:numPr>
          <w:ilvl w:val="0"/>
          <w:numId w:val="5"/>
        </w:numPr>
        <w:spacing w:after="100" w:line="276"/>
      </w:pPr>
      <w:r>
        <w:rPr>
          <w:rFonts w:ascii="Arial" w:cs="Arial" w:eastAsia="Arial" w:hAnsi="Arial"/>
          <w:color w:val="1A1A1A"/>
          <w:sz w:val="21"/>
          <w:szCs w:val="21"/>
        </w:rPr>
        <w:t xml:space="preserve">Review queue application deployed with all four review actions functional</w:t>
      </w:r>
    </w:p>
    <w:p>
      <w:pPr>
        <w:pStyle w:val="ListParagraph"/>
        <w:numPr>
          <w:ilvl w:val="0"/>
          <w:numId w:val="5"/>
        </w:numPr>
        <w:spacing w:after="100" w:line="276"/>
      </w:pPr>
      <w:r>
        <w:rPr>
          <w:rFonts w:ascii="Arial" w:cs="Arial" w:eastAsia="Arial" w:hAnsi="Arial"/>
          <w:color w:val="1A1A1A"/>
          <w:sz w:val="21"/>
          <w:szCs w:val="21"/>
        </w:rPr>
        <w:t xml:space="preserve">Pre-flight PII validation check operational (blocks API calls if Tier 1 PII detected)</w:t>
      </w:r>
    </w:p>
    <w:p>
      <w:pPr>
        <w:pStyle w:val="ListParagraph"/>
        <w:numPr>
          <w:ilvl w:val="0"/>
          <w:numId w:val="5"/>
        </w:numPr>
        <w:spacing w:after="100" w:line="276"/>
      </w:pPr>
      <w:r>
        <w:rPr>
          <w:rFonts w:ascii="Arial" w:cs="Arial" w:eastAsia="Arial" w:hAnsi="Arial"/>
          <w:color w:val="1A1A1A"/>
          <w:sz w:val="21"/>
          <w:szCs w:val="21"/>
        </w:rPr>
        <w:t xml:space="preserve">Practitioner-facing tokenization preview functional (human-in-the-loop before API call)</w:t>
      </w:r>
    </w:p>
    <w:p>
      <w:pPr>
        <w:pStyle w:val="Heading2"/>
        <w:spacing w:before="280" w:after="160"/>
      </w:pPr>
      <w:r>
        <w:rPr>
          <w:rFonts w:ascii="Arial" w:cs="Arial" w:eastAsia="Arial" w:hAnsi="Arial"/>
          <w:b/>
          <w:bCs/>
          <w:color w:val="2E75B6"/>
          <w:sz w:val="24"/>
          <w:szCs w:val="24"/>
        </w:rPr>
        <w:t xml:space="preserve">Operational</w:t>
      </w:r>
    </w:p>
    <w:p>
      <w:pPr>
        <w:pStyle w:val="ListParagraph"/>
        <w:numPr>
          <w:ilvl w:val="0"/>
          <w:numId w:val="5"/>
        </w:numPr>
        <w:spacing w:after="100" w:line="276"/>
      </w:pPr>
      <w:r>
        <w:rPr>
          <w:rFonts w:ascii="Arial" w:cs="Arial" w:eastAsia="Arial" w:hAnsi="Arial"/>
          <w:color w:val="1A1A1A"/>
          <w:sz w:val="21"/>
          <w:szCs w:val="21"/>
        </w:rPr>
        <w:t xml:space="preserve">System prompt v1.0 finalized, version-controlled, and tested against standardized test cases</w:t>
      </w:r>
    </w:p>
    <w:p>
      <w:pPr>
        <w:pStyle w:val="ListParagraph"/>
        <w:numPr>
          <w:ilvl w:val="0"/>
          <w:numId w:val="5"/>
        </w:numPr>
        <w:spacing w:after="100" w:line="276"/>
      </w:pPr>
      <w:r>
        <w:rPr>
          <w:rFonts w:ascii="Arial" w:cs="Arial" w:eastAsia="Arial" w:hAnsi="Arial"/>
          <w:color w:val="1A1A1A"/>
          <w:sz w:val="21"/>
          <w:szCs w:val="21"/>
        </w:rPr>
        <w:t xml:space="preserve">All practitioners completed AI platform training (capabilities, limitations, review obligations)</w:t>
      </w:r>
    </w:p>
    <w:p>
      <w:pPr>
        <w:pStyle w:val="ListParagraph"/>
        <w:numPr>
          <w:ilvl w:val="0"/>
          <w:numId w:val="5"/>
        </w:numPr>
        <w:spacing w:after="100" w:line="276"/>
      </w:pPr>
      <w:r>
        <w:rPr>
          <w:rFonts w:ascii="Arial" w:cs="Arial" w:eastAsia="Arial" w:hAnsi="Arial"/>
          <w:color w:val="1A1A1A"/>
          <w:sz w:val="21"/>
          <w:szCs w:val="21"/>
        </w:rPr>
        <w:t xml:space="preserve">Internal AI use policy document finalized and signed by all practitioners</w:t>
      </w:r>
    </w:p>
    <w:p>
      <w:pPr>
        <w:pStyle w:val="ListParagraph"/>
        <w:numPr>
          <w:ilvl w:val="0"/>
          <w:numId w:val="5"/>
        </w:numPr>
        <w:spacing w:after="100" w:line="276"/>
      </w:pPr>
      <w:r>
        <w:rPr>
          <w:rFonts w:ascii="Arial" w:cs="Arial" w:eastAsia="Arial" w:hAnsi="Arial"/>
          <w:color w:val="1A1A1A"/>
          <w:sz w:val="21"/>
          <w:szCs w:val="21"/>
        </w:rPr>
        <w:t xml:space="preserve">Weekly compliance reporting configured and tested</w:t>
      </w:r>
    </w:p>
    <w:p>
      <w:pPr>
        <w:pStyle w:val="ListParagraph"/>
        <w:numPr>
          <w:ilvl w:val="0"/>
          <w:numId w:val="5"/>
        </w:numPr>
        <w:spacing w:after="100" w:line="276"/>
      </w:pPr>
      <w:r>
        <w:rPr>
          <w:rFonts w:ascii="Arial" w:cs="Arial" w:eastAsia="Arial" w:hAnsi="Arial"/>
          <w:color w:val="1A1A1A"/>
          <w:sz w:val="21"/>
          <w:szCs w:val="21"/>
        </w:rPr>
        <w:t xml:space="preserve">Incident response plan documented and distributed (see Appendix B)</w:t>
      </w:r>
    </w:p>
    <w:p>
      <w:pPr>
        <w:pStyle w:val="Heading2"/>
        <w:spacing w:before="280" w:after="160"/>
      </w:pPr>
      <w:r>
        <w:rPr>
          <w:rFonts w:ascii="Arial" w:cs="Arial" w:eastAsia="Arial" w:hAnsi="Arial"/>
          <w:b/>
          <w:bCs/>
          <w:color w:val="2E75B6"/>
          <w:sz w:val="24"/>
          <w:szCs w:val="24"/>
        </w:rPr>
        <w:t xml:space="preserve">Regulatory</w:t>
      </w:r>
    </w:p>
    <w:p>
      <w:pPr>
        <w:pStyle w:val="ListParagraph"/>
        <w:numPr>
          <w:ilvl w:val="0"/>
          <w:numId w:val="5"/>
        </w:numPr>
        <w:spacing w:after="100" w:line="276"/>
      </w:pPr>
      <w:r>
        <w:rPr>
          <w:rFonts w:ascii="Arial" w:cs="Arial" w:eastAsia="Arial" w:hAnsi="Arial"/>
          <w:color w:val="1A1A1A"/>
          <w:sz w:val="21"/>
          <w:szCs w:val="21"/>
        </w:rPr>
        <w:t xml:space="preserve">Tennessee UPL analysis completed confirming the service model does not constitute unauthorized practice</w:t>
      </w:r>
    </w:p>
    <w:p>
      <w:pPr>
        <w:pStyle w:val="ListParagraph"/>
        <w:numPr>
          <w:ilvl w:val="0"/>
          <w:numId w:val="5"/>
        </w:numPr>
        <w:spacing w:after="100" w:line="276"/>
      </w:pPr>
      <w:r>
        <w:rPr>
          <w:rFonts w:ascii="Arial" w:cs="Arial" w:eastAsia="Arial" w:hAnsi="Arial"/>
          <w:color w:val="1A1A1A"/>
          <w:sz w:val="21"/>
          <w:szCs w:val="21"/>
        </w:rPr>
        <w:t xml:space="preserve">Circular 230 § 10.36 firm-level procedures document updated to reflect AI use protocols</w:t>
      </w:r>
    </w:p>
    <w:p>
      <w:pPr>
        <w:pStyle w:val="ListParagraph"/>
        <w:numPr>
          <w:ilvl w:val="0"/>
          <w:numId w:val="5"/>
        </w:numPr>
        <w:spacing w:after="100" w:line="276"/>
      </w:pPr>
      <w:r>
        <w:rPr>
          <w:rFonts w:ascii="Arial" w:cs="Arial" w:eastAsia="Arial" w:hAnsi="Arial"/>
          <w:color w:val="1A1A1A"/>
          <w:sz w:val="21"/>
          <w:szCs w:val="21"/>
        </w:rPr>
        <w:t xml:space="preserve">IRS Pub 4557 Written Information Security Plan (WISP) updated to cover AI infrastructure</w:t>
      </w:r>
    </w:p>
    <w:p>
      <w:pPr>
        <w:pStyle w:val="ListParagraph"/>
        <w:numPr>
          <w:ilvl w:val="0"/>
          <w:numId w:val="5"/>
        </w:numPr>
        <w:spacing w:after="100" w:line="276"/>
      </w:pPr>
      <w:r>
        <w:rPr>
          <w:rFonts w:ascii="Arial" w:cs="Arial" w:eastAsia="Arial" w:hAnsi="Arial"/>
          <w:color w:val="1A1A1A"/>
          <w:sz w:val="21"/>
          <w:szCs w:val="21"/>
        </w:rPr>
        <w:t xml:space="preserve">State data breach notification requirements reviewed for all states where Cleared accepts clients</w:t>
      </w:r>
    </w:p>
    <w:p>
      <w:pPr>
        <w:spacing w:before="80" w:after="0"/>
      </w:pPr>
    </w:p>
    <w:p>
      <w:pPr>
        <w:pBdr>
          <w:bottom w:val="single" w:color="2E75B6" w:sz="4" w:space="1"/>
        </w:pBdr>
        <w:spacing w:before="200" w:after="200"/>
      </w:pPr>
    </w:p>
    <w:p>
      <w:pPr>
        <w:pStyle w:val="Heading1"/>
        <w:spacing w:before="360" w:after="200"/>
      </w:pPr>
      <w:r>
        <w:rPr>
          <w:rFonts w:ascii="Arial" w:cs="Arial" w:eastAsia="Arial" w:hAnsi="Arial"/>
          <w:b/>
          <w:bCs/>
          <w:color w:val="1B2A4A"/>
          <w:sz w:val="28"/>
          <w:szCs w:val="28"/>
        </w:rPr>
        <w:t xml:space="preserve">Appendix A: Data Classification Matrix</w:t>
      </w:r>
    </w:p>
    <w:p>
      <w:pPr>
        <w:spacing w:after="160" w:line="276"/>
      </w:pPr>
      <w:r>
        <w:rPr>
          <w:rFonts w:ascii="Arial" w:cs="Arial" w:eastAsia="Arial" w:hAnsi="Arial"/>
          <w:color w:val="1A1A1A"/>
          <w:sz w:val="21"/>
          <w:szCs w:val="21"/>
        </w:rPr>
        <w:t xml:space="preserve">Complete reference of data types, classification tiers, and handling requirements: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560"/>
        <w:gridCol w:w="1560"/>
        <w:gridCol w:w="1716"/>
        <w:gridCol w:w="1716"/>
      </w:tblGrid>
      <w:tr>
        <w:tc>
          <w:tcPr>
            <w:tcW w:type="dxa" w:w="2808"/>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Data Element</w:t>
            </w:r>
          </w:p>
        </w:tc>
        <w:tc>
          <w:tcPr>
            <w:tcW w:type="dxa" w:w="15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Tier</w:t>
            </w:r>
          </w:p>
        </w:tc>
        <w:tc>
          <w:tcPr>
            <w:tcW w:type="dxa" w:w="15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Action</w:t>
            </w:r>
          </w:p>
        </w:tc>
        <w:tc>
          <w:tcPr>
            <w:tcW w:type="dxa" w:w="1716"/>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Enters API?</w:t>
            </w:r>
          </w:p>
        </w:tc>
        <w:tc>
          <w:tcPr>
            <w:tcW w:type="dxa" w:w="1716"/>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Stored in Logs?</w:t>
            </w:r>
          </w:p>
        </w:tc>
      </w:tr>
      <w:tr>
        <w:tc>
          <w:tcPr>
            <w:tcW w:type="dxa" w:w="2808"/>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Social Security Number</w:t>
            </w:r>
          </w:p>
        </w:tc>
        <w:tc>
          <w:tcPr>
            <w:tcW w:type="dxa" w:w="156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56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Tokenize</w:t>
            </w:r>
          </w:p>
        </w:tc>
        <w:tc>
          <w:tcPr>
            <w:tcW w:type="dxa" w:w="1716"/>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As token only</w:t>
            </w:r>
          </w:p>
        </w:tc>
        <w:tc>
          <w:tcPr>
            <w:tcW w:type="dxa" w:w="1716"/>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As token only</w:t>
            </w:r>
          </w:p>
        </w:tc>
      </w:tr>
      <w:tr>
        <w:tc>
          <w:tcPr>
            <w:tcW w:type="dxa" w:w="2808"/>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Employer ID Number (EIN)</w:t>
            </w:r>
          </w:p>
        </w:tc>
        <w:tc>
          <w:tcPr>
            <w:tcW w:type="dxa" w:w="1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Tokenize</w:t>
            </w:r>
          </w:p>
        </w:tc>
        <w:tc>
          <w:tcPr>
            <w:tcW w:type="dxa" w:w="1716"/>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As token only</w:t>
            </w:r>
          </w:p>
        </w:tc>
        <w:tc>
          <w:tcPr>
            <w:tcW w:type="dxa" w:w="1716"/>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As token only</w:t>
            </w:r>
          </w:p>
        </w:tc>
      </w:tr>
      <w:tr>
        <w:tc>
          <w:tcPr>
            <w:tcW w:type="dxa" w:w="2808"/>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Full Legal Name</w:t>
            </w:r>
          </w:p>
        </w:tc>
        <w:tc>
          <w:tcPr>
            <w:tcW w:type="dxa" w:w="156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56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Tokenize</w:t>
            </w:r>
          </w:p>
        </w:tc>
        <w:tc>
          <w:tcPr>
            <w:tcW w:type="dxa" w:w="1716"/>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As token only</w:t>
            </w:r>
          </w:p>
        </w:tc>
        <w:tc>
          <w:tcPr>
            <w:tcW w:type="dxa" w:w="1716"/>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As token only</w:t>
            </w:r>
          </w:p>
        </w:tc>
      </w:tr>
      <w:tr>
        <w:tc>
          <w:tcPr>
            <w:tcW w:type="dxa" w:w="2808"/>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Date of Birth</w:t>
            </w:r>
          </w:p>
        </w:tc>
        <w:tc>
          <w:tcPr>
            <w:tcW w:type="dxa" w:w="1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Tokenize</w:t>
            </w:r>
          </w:p>
        </w:tc>
        <w:tc>
          <w:tcPr>
            <w:tcW w:type="dxa" w:w="1716"/>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As token only</w:t>
            </w:r>
          </w:p>
        </w:tc>
        <w:tc>
          <w:tcPr>
            <w:tcW w:type="dxa" w:w="1716"/>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As token only</w:t>
            </w:r>
          </w:p>
        </w:tc>
      </w:tr>
      <w:tr>
        <w:tc>
          <w:tcPr>
            <w:tcW w:type="dxa" w:w="2808"/>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Home Address</w:t>
            </w:r>
          </w:p>
        </w:tc>
        <w:tc>
          <w:tcPr>
            <w:tcW w:type="dxa" w:w="156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56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Tokenize</w:t>
            </w:r>
          </w:p>
        </w:tc>
        <w:tc>
          <w:tcPr>
            <w:tcW w:type="dxa" w:w="1716"/>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As token only</w:t>
            </w:r>
          </w:p>
        </w:tc>
        <w:tc>
          <w:tcPr>
            <w:tcW w:type="dxa" w:w="1716"/>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As token only</w:t>
            </w:r>
          </w:p>
        </w:tc>
      </w:tr>
      <w:tr>
        <w:tc>
          <w:tcPr>
            <w:tcW w:type="dxa" w:w="2808"/>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Bank Account / Routing Numbers</w:t>
            </w:r>
          </w:p>
        </w:tc>
        <w:tc>
          <w:tcPr>
            <w:tcW w:type="dxa" w:w="1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Tokenize</w:t>
            </w:r>
          </w:p>
        </w:tc>
        <w:tc>
          <w:tcPr>
            <w:tcW w:type="dxa" w:w="1716"/>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As token only</w:t>
            </w:r>
          </w:p>
        </w:tc>
        <w:tc>
          <w:tcPr>
            <w:tcW w:type="dxa" w:w="1716"/>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As token only</w:t>
            </w:r>
          </w:p>
        </w:tc>
      </w:tr>
      <w:tr>
        <w:tc>
          <w:tcPr>
            <w:tcW w:type="dxa" w:w="2808"/>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Employer Name</w:t>
            </w:r>
          </w:p>
        </w:tc>
        <w:tc>
          <w:tcPr>
            <w:tcW w:type="dxa" w:w="156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156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Mask</w:t>
            </w:r>
          </w:p>
        </w:tc>
        <w:tc>
          <w:tcPr>
            <w:tcW w:type="dxa" w:w="1716"/>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As [EMPLOYER-N]</w:t>
            </w:r>
          </w:p>
        </w:tc>
        <w:tc>
          <w:tcPr>
            <w:tcW w:type="dxa" w:w="1716"/>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As masked</w:t>
            </w:r>
          </w:p>
        </w:tc>
      </w:tr>
      <w:tr>
        <w:tc>
          <w:tcPr>
            <w:tcW w:type="dxa" w:w="2808"/>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Specific Property Addresses</w:t>
            </w:r>
          </w:p>
        </w:tc>
        <w:tc>
          <w:tcPr>
            <w:tcW w:type="dxa" w:w="1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1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Mask</w:t>
            </w:r>
          </w:p>
        </w:tc>
        <w:tc>
          <w:tcPr>
            <w:tcW w:type="dxa" w:w="1716"/>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As [PROPERTY-N]</w:t>
            </w:r>
          </w:p>
        </w:tc>
        <w:tc>
          <w:tcPr>
            <w:tcW w:type="dxa" w:w="1716"/>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As masked</w:t>
            </w:r>
          </w:p>
        </w:tc>
      </w:tr>
      <w:tr>
        <w:tc>
          <w:tcPr>
            <w:tcW w:type="dxa" w:w="2808"/>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IRS Notice / Letter Numbers</w:t>
            </w:r>
          </w:p>
        </w:tc>
        <w:tc>
          <w:tcPr>
            <w:tcW w:type="dxa" w:w="156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156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Mask</w:t>
            </w:r>
          </w:p>
        </w:tc>
        <w:tc>
          <w:tcPr>
            <w:tcW w:type="dxa" w:w="1716"/>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As [NOTICE-N]</w:t>
            </w:r>
          </w:p>
        </w:tc>
        <w:tc>
          <w:tcPr>
            <w:tcW w:type="dxa" w:w="1716"/>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As masked</w:t>
            </w:r>
          </w:p>
        </w:tc>
      </w:tr>
      <w:tr>
        <w:tc>
          <w:tcPr>
            <w:tcW w:type="dxa" w:w="2808"/>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Tax Year</w:t>
            </w:r>
          </w:p>
        </w:tc>
        <w:tc>
          <w:tcPr>
            <w:tcW w:type="dxa" w:w="1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1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Pass</w:t>
            </w:r>
          </w:p>
        </w:tc>
        <w:tc>
          <w:tcPr>
            <w:tcW w:type="dxa" w:w="1716"/>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Yes (original)</w:t>
            </w:r>
          </w:p>
        </w:tc>
        <w:tc>
          <w:tcPr>
            <w:tcW w:type="dxa" w:w="1716"/>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Yes (original)</w:t>
            </w:r>
          </w:p>
        </w:tc>
      </w:tr>
      <w:tr>
        <w:tc>
          <w:tcPr>
            <w:tcW w:type="dxa" w:w="2808"/>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Filing Status</w:t>
            </w:r>
          </w:p>
        </w:tc>
        <w:tc>
          <w:tcPr>
            <w:tcW w:type="dxa" w:w="156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156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Pass</w:t>
            </w:r>
          </w:p>
        </w:tc>
        <w:tc>
          <w:tcPr>
            <w:tcW w:type="dxa" w:w="1716"/>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Yes (original)</w:t>
            </w:r>
          </w:p>
        </w:tc>
        <w:tc>
          <w:tcPr>
            <w:tcW w:type="dxa" w:w="1716"/>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Yes (original)</w:t>
            </w:r>
          </w:p>
        </w:tc>
      </w:tr>
      <w:tr>
        <w:tc>
          <w:tcPr>
            <w:tcW w:type="dxa" w:w="2808"/>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Income / Liability Amounts</w:t>
            </w:r>
          </w:p>
        </w:tc>
        <w:tc>
          <w:tcPr>
            <w:tcW w:type="dxa" w:w="1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1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Pass</w:t>
            </w:r>
          </w:p>
        </w:tc>
        <w:tc>
          <w:tcPr>
            <w:tcW w:type="dxa" w:w="1716"/>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Yes (original)</w:t>
            </w:r>
          </w:p>
        </w:tc>
        <w:tc>
          <w:tcPr>
            <w:tcW w:type="dxa" w:w="1716"/>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Yes (original)</w:t>
            </w:r>
          </w:p>
        </w:tc>
      </w:tr>
      <w:tr>
        <w:tc>
          <w:tcPr>
            <w:tcW w:type="dxa" w:w="2808"/>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Tax Form Numbers</w:t>
            </w:r>
          </w:p>
        </w:tc>
        <w:tc>
          <w:tcPr>
            <w:tcW w:type="dxa" w:w="156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156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Pass</w:t>
            </w:r>
          </w:p>
        </w:tc>
        <w:tc>
          <w:tcPr>
            <w:tcW w:type="dxa" w:w="1716"/>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Yes (original)</w:t>
            </w:r>
          </w:p>
        </w:tc>
        <w:tc>
          <w:tcPr>
            <w:tcW w:type="dxa" w:w="1716"/>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Yes (original)</w:t>
            </w:r>
          </w:p>
        </w:tc>
      </w:tr>
      <w:tr>
        <w:tc>
          <w:tcPr>
            <w:tcW w:type="dxa" w:w="2808"/>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1A1A1A"/>
                <w:sz w:val="20"/>
                <w:szCs w:val="20"/>
              </w:rPr>
              <w:t xml:space="preserve">IRS Procedure Types</w:t>
            </w:r>
          </w:p>
        </w:tc>
        <w:tc>
          <w:tcPr>
            <w:tcW w:type="dxa" w:w="1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1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Pass</w:t>
            </w:r>
          </w:p>
        </w:tc>
        <w:tc>
          <w:tcPr>
            <w:tcW w:type="dxa" w:w="1716"/>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Yes (original)</w:t>
            </w:r>
          </w:p>
        </w:tc>
        <w:tc>
          <w:tcPr>
            <w:tcW w:type="dxa" w:w="1716"/>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Yes (original)</w:t>
            </w:r>
          </w:p>
        </w:tc>
      </w:tr>
      <w:tr>
        <w:tc>
          <w:tcPr>
            <w:tcW w:type="dxa" w:w="2808"/>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1A1A1A"/>
                <w:sz w:val="20"/>
                <w:szCs w:val="20"/>
              </w:rPr>
              <w:t xml:space="preserve">Penalty Types and Amounts</w:t>
            </w:r>
          </w:p>
        </w:tc>
        <w:tc>
          <w:tcPr>
            <w:tcW w:type="dxa" w:w="156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156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Pass</w:t>
            </w:r>
          </w:p>
        </w:tc>
        <w:tc>
          <w:tcPr>
            <w:tcW w:type="dxa" w:w="1716"/>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Yes (original)</w:t>
            </w:r>
          </w:p>
        </w:tc>
        <w:tc>
          <w:tcPr>
            <w:tcW w:type="dxa" w:w="1716"/>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Yes (original)</w:t>
            </w:r>
          </w:p>
        </w:tc>
      </w:tr>
    </w:tbl>
    <w:p>
      <w:pPr>
        <w:spacing w:before="80" w:after="0"/>
      </w:pPr>
    </w:p>
    <w:p>
      <w:pPr>
        <w:pBdr>
          <w:bottom w:val="single" w:color="2E75B6" w:sz="4" w:space="1"/>
        </w:pBdr>
        <w:spacing w:before="200" w:after="200"/>
      </w:pPr>
    </w:p>
    <w:p>
      <w:pPr>
        <w:pStyle w:val="Heading1"/>
        <w:spacing w:before="360" w:after="200"/>
      </w:pPr>
      <w:r>
        <w:rPr>
          <w:rFonts w:ascii="Arial" w:cs="Arial" w:eastAsia="Arial" w:hAnsi="Arial"/>
          <w:b/>
          <w:bCs/>
          <w:color w:val="1B2A4A"/>
          <w:sz w:val="28"/>
          <w:szCs w:val="28"/>
        </w:rPr>
        <w:t xml:space="preserve">Appendix B: Incident Response Protocol</w:t>
      </w:r>
    </w:p>
    <w:p>
      <w:pPr>
        <w:spacing w:after="160" w:line="276"/>
      </w:pPr>
      <w:r>
        <w:rPr>
          <w:rFonts w:ascii="Arial" w:cs="Arial" w:eastAsia="Arial" w:hAnsi="Arial"/>
          <w:color w:val="1A1A1A"/>
          <w:sz w:val="21"/>
          <w:szCs w:val="21"/>
        </w:rPr>
        <w:t xml:space="preserve">In the event of a suspected data breach, unauthorized access, or AI system malfunction that could impact client data, Cleared follows this escalation protocol:</w:t>
      </w:r>
    </w:p>
    <w:p>
      <w:pPr>
        <w:pStyle w:val="Heading2"/>
        <w:spacing w:before="280" w:after="160"/>
      </w:pPr>
      <w:r>
        <w:rPr>
          <w:rFonts w:ascii="Arial" w:cs="Arial" w:eastAsia="Arial" w:hAnsi="Arial"/>
          <w:b/>
          <w:bCs/>
          <w:color w:val="2E75B6"/>
          <w:sz w:val="24"/>
          <w:szCs w:val="24"/>
        </w:rPr>
        <w:t xml:space="preserve">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Level</w:t>
            </w:r>
          </w:p>
        </w:tc>
        <w:tc>
          <w:tcPr>
            <w:tcW w:type="dxa" w:w="39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c>
          <w:tcPr>
            <w:tcW w:type="dxa" w:w="3900"/>
            <w:tcBorders>
              <w:top w:val="single" w:color="B0C4D8" w:sz="1"/>
              <w:left w:val="single" w:color="B0C4D8" w:sz="1"/>
              <w:bottom w:val="single" w:color="B0C4D8" w:sz="1"/>
              <w:right w:val="single" w:color="B0C4D8" w:sz="1"/>
            </w:tcBorders>
            <w:shd w:fill="1B2A4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Response Time</w:t>
            </w:r>
          </w:p>
        </w:tc>
      </w:tr>
      <w:tr>
        <w:tc>
          <w:tcPr>
            <w:tcW w:type="dxa" w:w="156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C0392B"/>
                <w:sz w:val="20"/>
                <w:szCs w:val="20"/>
              </w:rPr>
              <w:t xml:space="preserve">SEV 1 — Critical</w:t>
            </w:r>
          </w:p>
        </w:tc>
        <w:tc>
          <w:tcPr>
            <w:tcW w:type="dxa" w:w="390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Confirmed breach of client PII; unauthorized access to token mapping tables; AI output sent to wrong client</w:t>
            </w:r>
          </w:p>
        </w:tc>
        <w:tc>
          <w:tcPr>
            <w:tcW w:type="dxa" w:w="390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Immediate (within 1 hour): Isolate affected systems, notify compliance officer and legal counsel, begin forensic investigation</w:t>
            </w:r>
          </w:p>
        </w:tc>
      </w:tr>
      <w:tr>
        <w:tc>
          <w:tcPr>
            <w:tcW w:type="dxa" w:w="156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b/>
                <w:bCs/>
                <w:color w:val="2E75B6"/>
                <w:sz w:val="20"/>
                <w:szCs w:val="20"/>
              </w:rPr>
              <w:t xml:space="preserve">SEV 2 — High</w:t>
            </w:r>
          </w:p>
        </w:tc>
        <w:tc>
          <w:tcPr>
            <w:tcW w:type="dxa" w:w="39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PII detected in API call logs (tokenization failure); unauthorized access attempt detected; Anthropic reports data handling incident</w:t>
            </w:r>
          </w:p>
        </w:tc>
        <w:tc>
          <w:tcPr>
            <w:tcW w:type="dxa" w:w="39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pPr>
              <w:spacing w:after="0"/>
            </w:pPr>
            <w:r>
              <w:rPr>
                <w:rFonts w:ascii="Arial" w:cs="Arial" w:eastAsia="Arial" w:hAnsi="Arial"/>
                <w:color w:val="1A1A1A"/>
                <w:sz w:val="20"/>
                <w:szCs w:val="20"/>
              </w:rPr>
              <w:t xml:space="preserve">Within 4 hours: Suspend affected workflows, investigate scope, notify compliance officer</w:t>
            </w:r>
          </w:p>
        </w:tc>
      </w:tr>
      <w:tr>
        <w:tc>
          <w:tcPr>
            <w:tcW w:type="dxa" w:w="156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b/>
                <w:bCs/>
                <w:color w:val="27AE60"/>
                <w:sz w:val="20"/>
                <w:szCs w:val="20"/>
              </w:rPr>
              <w:t xml:space="preserve">SEV 3 — Medium</w:t>
            </w:r>
          </w:p>
        </w:tc>
        <w:tc>
          <w:tcPr>
            <w:tcW w:type="dxa" w:w="390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AI produces consistently inaccurate output for a task type; system prompt version mismatch detected; audit log integrity check fails</w:t>
            </w:r>
          </w:p>
        </w:tc>
        <w:tc>
          <w:tcPr>
            <w:tcW w:type="dxa" w:w="3900"/>
            <w:tcBorders>
              <w:top w:val="single" w:color="B0C4D8" w:sz="1"/>
              <w:left w:val="single" w:color="B0C4D8" w:sz="1"/>
              <w:bottom w:val="single" w:color="B0C4D8" w:sz="1"/>
              <w:right w:val="single" w:color="B0C4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Within 24 hours: Investigate root cause, implement fix, document in change log</w:t>
            </w:r>
          </w:p>
        </w:tc>
      </w:tr>
    </w:tbl>
    <w:p>
      <w:pPr>
        <w:spacing w:before="80" w:after="0"/>
      </w:pPr>
    </w:p>
    <w:p>
      <w:pPr>
        <w:pStyle w:val="Heading2"/>
        <w:spacing w:before="280" w:after="160"/>
      </w:pPr>
      <w:r>
        <w:rPr>
          <w:rFonts w:ascii="Arial" w:cs="Arial" w:eastAsia="Arial" w:hAnsi="Arial"/>
          <w:b/>
          <w:bCs/>
          <w:color w:val="2E75B6"/>
          <w:sz w:val="24"/>
          <w:szCs w:val="24"/>
        </w:rPr>
        <w:t xml:space="preserve">Notification Requirements</w:t>
      </w:r>
    </w:p>
    <w:p>
      <w:pPr>
        <w:spacing w:after="160" w:line="276"/>
      </w:pPr>
      <w:r>
        <w:rPr>
          <w:rFonts w:ascii="Arial" w:cs="Arial" w:eastAsia="Arial" w:hAnsi="Arial"/>
          <w:color w:val="1A1A1A"/>
          <w:sz w:val="21"/>
          <w:szCs w:val="21"/>
        </w:rPr>
        <w:t xml:space="preserve">If a SEV 1 incident involves confirmed exposure of taxpayer PII, Cleared must comply with the following notification requirements:</w:t>
      </w:r>
    </w:p>
    <w:p>
      <w:pPr>
        <w:pStyle w:val="ListParagraph"/>
        <w:numPr>
          <w:ilvl w:val="0"/>
          <w:numId w:val="5"/>
        </w:numPr>
        <w:spacing w:after="100" w:line="276"/>
      </w:pPr>
      <w:r>
        <w:rPr>
          <w:rFonts w:ascii="Arial" w:cs="Arial" w:eastAsia="Arial" w:hAnsi="Arial"/>
          <w:b/>
          <w:bCs/>
          <w:color w:val="1A1A1A"/>
          <w:sz w:val="21"/>
          <w:szCs w:val="21"/>
        </w:rPr>
        <w:t xml:space="preserve">IRS: </w:t>
      </w:r>
      <w:r>
        <w:rPr>
          <w:rFonts w:ascii="Arial" w:cs="Arial" w:eastAsia="Arial" w:hAnsi="Arial"/>
          <w:color w:val="1A1A1A"/>
          <w:sz w:val="21"/>
          <w:szCs w:val="21"/>
        </w:rPr>
        <w:t xml:space="preserve">Report to the IRS Identity Protection Specialized Unit if taxpayer identity data is compromised.</w:t>
      </w:r>
    </w:p>
    <w:p>
      <w:pPr>
        <w:pStyle w:val="ListParagraph"/>
        <w:numPr>
          <w:ilvl w:val="0"/>
          <w:numId w:val="5"/>
        </w:numPr>
        <w:spacing w:after="100" w:line="276"/>
      </w:pPr>
      <w:r>
        <w:rPr>
          <w:rFonts w:ascii="Arial" w:cs="Arial" w:eastAsia="Arial" w:hAnsi="Arial"/>
          <w:b/>
          <w:bCs/>
          <w:color w:val="1A1A1A"/>
          <w:sz w:val="21"/>
          <w:szCs w:val="21"/>
        </w:rPr>
        <w:t xml:space="preserve">State attorneys general: </w:t>
      </w:r>
      <w:r>
        <w:rPr>
          <w:rFonts w:ascii="Arial" w:cs="Arial" w:eastAsia="Arial" w:hAnsi="Arial"/>
          <w:color w:val="1A1A1A"/>
          <w:sz w:val="21"/>
          <w:szCs w:val="21"/>
        </w:rPr>
        <w:t xml:space="preserve">Comply with breach notification statutes in each state where affected clients reside. Tennessee requires notification within 60 days (TCA § 47-18-2107).</w:t>
      </w:r>
    </w:p>
    <w:p>
      <w:pPr>
        <w:pStyle w:val="ListParagraph"/>
        <w:numPr>
          <w:ilvl w:val="0"/>
          <w:numId w:val="5"/>
        </w:numPr>
        <w:spacing w:after="100" w:line="276"/>
      </w:pPr>
      <w:r>
        <w:rPr>
          <w:rFonts w:ascii="Arial" w:cs="Arial" w:eastAsia="Arial" w:hAnsi="Arial"/>
          <w:b/>
          <w:bCs/>
          <w:color w:val="1A1A1A"/>
          <w:sz w:val="21"/>
          <w:szCs w:val="21"/>
        </w:rPr>
        <w:t xml:space="preserve">Affected clients: </w:t>
      </w:r>
      <w:r>
        <w:rPr>
          <w:rFonts w:ascii="Arial" w:cs="Arial" w:eastAsia="Arial" w:hAnsi="Arial"/>
          <w:color w:val="1A1A1A"/>
          <w:sz w:val="21"/>
          <w:szCs w:val="21"/>
        </w:rPr>
        <w:t xml:space="preserve">Notify affected individuals in writing with a description of the breach, the types of data involved, and steps being taken to mitigate harm.</w:t>
      </w:r>
    </w:p>
    <w:p>
      <w:pPr>
        <w:pStyle w:val="ListParagraph"/>
        <w:numPr>
          <w:ilvl w:val="0"/>
          <w:numId w:val="5"/>
        </w:numPr>
        <w:spacing w:after="100" w:line="276"/>
      </w:pPr>
      <w:r>
        <w:rPr>
          <w:rFonts w:ascii="Arial" w:cs="Arial" w:eastAsia="Arial" w:hAnsi="Arial"/>
          <w:b/>
          <w:bCs/>
          <w:color w:val="1A1A1A"/>
          <w:sz w:val="21"/>
          <w:szCs w:val="21"/>
        </w:rPr>
        <w:t xml:space="preserve">Professional liability carrier: </w:t>
      </w:r>
      <w:r>
        <w:rPr>
          <w:rFonts w:ascii="Arial" w:cs="Arial" w:eastAsia="Arial" w:hAnsi="Arial"/>
          <w:color w:val="1A1A1A"/>
          <w:sz w:val="21"/>
          <w:szCs w:val="21"/>
        </w:rPr>
        <w:t xml:space="preserve">Notify malpractice insurance carrier of the incident per policy terms.</w:t>
      </w:r>
    </w:p>
    <w:p>
      <w:pPr>
        <w:spacing w:before="200" w:after="0"/>
      </w:pPr>
    </w:p>
    <w:p>
      <w:pPr>
        <w:pBdr>
          <w:top w:val="single" w:color="2E75B6" w:sz="4" w:space="8"/>
        </w:pBdr>
        <w:spacing w:before="400"/>
        <w:jc w:val="center"/>
      </w:pPr>
      <w:r>
        <w:rPr>
          <w:rFonts w:ascii="Arial" w:cs="Arial" w:eastAsia="Arial" w:hAnsi="Arial"/>
          <w:b/>
          <w:bCs/>
          <w:color w:val="555555"/>
          <w:sz w:val="20"/>
          <w:szCs w:val="20"/>
        </w:rPr>
        <w:t xml:space="preserve">END OF SPECIFICATION</w:t>
      </w:r>
    </w:p>
    <w:p>
      <w:pPr>
        <w:spacing w:after="200"/>
        <w:jc w:val="center"/>
      </w:pPr>
      <w:r>
        <w:rPr>
          <w:rFonts w:ascii="Arial" w:cs="Arial" w:eastAsia="Arial" w:hAnsi="Arial"/>
          <w:color w:val="555555"/>
          <w:sz w:val="18"/>
          <w:szCs w:val="18"/>
        </w:rPr>
        <w:t xml:space="preserve">Cleared Tax Resolution — Confidential</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8" w:sz="1" w:space="4"/>
      </w:pBdr>
      <w:jc w:val="center"/>
    </w:pPr>
    <w:r>
      <w:rPr>
        <w:rFonts w:ascii="Arial" w:cs="Arial" w:eastAsia="Arial" w:hAnsi="Arial"/>
        <w:color w:val="555555"/>
        <w:sz w:val="16"/>
        <w:szCs w:val="16"/>
      </w:rPr>
      <w:t xml:space="preserve">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C4D8" w:sz="1" w:space="4"/>
      </w:pBdr>
      <w:jc w:val="center"/>
    </w:pPr>
    <w:r>
      <w:rPr>
        <w:rFonts w:ascii="Arial" w:cs="Arial" w:eastAsia="Arial" w:hAnsi="Arial"/>
        <w:color w:val="555555"/>
        <w:sz w:val="16"/>
        <w:szCs w:val="16"/>
      </w:rPr>
      <w:t xml:space="preserve">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555555"/>
        <w:sz w:val="16"/>
        <w:szCs w:val="16"/>
      </w:rPr>
      <w:t xml:space="preserve">Cleared — Tier 1 Technical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555555"/>
        <w:sz w:val="16"/>
        <w:szCs w:val="16"/>
      </w:rPr>
      <w:t xml:space="preserve">Cleared — Tier 1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2026-03-17T15:11:17.016Z</dcterms:created>
  <dcterms:modified xsi:type="dcterms:W3CDTF">2026-03-17T15:11:17.017Z</dcterms:modified>
</cp:coreProperties>
</file>

<file path=docProps/custom.xml><?xml version="1.0" encoding="utf-8"?>
<Properties xmlns="http://schemas.openxmlformats.org/officeDocument/2006/custom-properties" xmlns:vt="http://schemas.openxmlformats.org/officeDocument/2006/docPropsVTypes"/>
</file>