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680"/>
        <w:jc w:val="center"/>
      </w:pPr>
      <w:r>
        <w:rPr>
          <w:rFonts w:ascii="Calibri" w:hAnsi="Calibri" w:eastAsia="Calibri" w:cs="Calibri"/>
          <w:b/>
          <w:color w:val="2E74B5"/>
          <w:sz w:val="24"/>
        </w:rPr>
        <w:t>OFFICE NATIONAL DES CHEMINS DE FER</w:t>
      </w:r>
    </w:p>
    <w:p>
      <w:pPr>
        <w:widowControl/>
        <w:spacing w:before="320" w:after="160"/>
        <w:jc w:val="center"/>
      </w:pPr>
      <w:r>
        <w:rPr>
          <w:rFonts w:ascii="Calibri" w:hAnsi="Calibri" w:eastAsia="Calibri" w:cs="Calibri"/>
          <w:b/>
          <w:color w:val="0B2545"/>
          <w:sz w:val="56"/>
        </w:rPr>
        <w:t>CAHIER DES CHARGES</w:t>
        <w:br/>
        <w:t>SIMPLIFIÉ</w:t>
      </w:r>
    </w:p>
    <w:p>
      <w:pPr>
        <w:widowControl/>
        <w:spacing w:after="480"/>
        <w:jc w:val="center"/>
      </w:pPr>
      <w:r>
        <w:rPr>
          <w:rFonts w:ascii="Calibri" w:hAnsi="Calibri" w:eastAsia="Calibri" w:cs="Calibri"/>
          <w:b/>
          <w:color w:val="1F4D78"/>
          <w:sz w:val="30"/>
        </w:rPr>
        <w:t>Application web de suivi des Demandes de Matières (DM)</w:t>
      </w:r>
    </w:p>
    <w:p>
      <w:pPr>
        <w:widowControl/>
        <w:spacing w:after="720"/>
        <w:jc w:val="center"/>
      </w:pPr>
      <w:r>
        <w:rPr>
          <w:rFonts w:ascii="Calibri" w:hAnsi="Calibri" w:eastAsia="Calibri" w:cs="Calibri"/>
          <w:i/>
          <w:color w:val="667085"/>
          <w:sz w:val="24"/>
        </w:rPr>
        <w:t>Département Maintenance Infrastructure</w:t>
      </w:r>
    </w:p>
    <w:tbl>
      <w:tblPr>
        <w:tblStyle w:val="TableGrid"/>
        <w:tblW w:type="dxa" w:w="9411"/>
        <w:jc w:val="left"/>
        <w:tblLayout w:type="fixed"/>
        <w:tblLook w:firstColumn="1" w:firstRow="1" w:lastColumn="0" w:lastRow="0" w:noHBand="0" w:noVBand="1" w:val="04A0"/>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Pr>
      <w:tblGrid>
        <w:gridCol w:w="2381"/>
        <w:gridCol w:w="7030"/>
      </w:tblGrid>
      <w:tr>
        <w:trPr>
          <w:tblHeader w:val="true"/>
        </w:trPr>
        <w:tc>
          <w:tcPr>
            <w:tcW w:type="dxa" w:w="2381"/>
            <w:shd w:fill="E8EEF5"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20"/>
              </w:rPr>
              <w:t>Élément</w:t>
            </w:r>
          </w:p>
        </w:tc>
        <w:tc>
          <w:tcPr>
            <w:tcW w:type="dxa" w:w="7030"/>
            <w:shd w:fill="E8EEF5"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20"/>
              </w:rPr>
              <w:t>Information</w:t>
            </w:r>
          </w:p>
        </w:tc>
      </w:tr>
      <w:tr>
        <w:tc>
          <w:tcPr>
            <w:tcW w:type="dxa" w:w="2381"/>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Organisme</w:t>
            </w:r>
          </w:p>
        </w:tc>
        <w:tc>
          <w:tcPr>
            <w:tcW w:type="dxa" w:w="7030"/>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Office National des Chemins de Fer - ONCF</w:t>
            </w:r>
          </w:p>
        </w:tc>
      </w:tr>
      <w:tr>
        <w:tc>
          <w:tcPr>
            <w:tcW w:type="dxa" w:w="2381"/>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Département</w:t>
            </w:r>
          </w:p>
        </w:tc>
        <w:tc>
          <w:tcPr>
            <w:tcW w:type="dxa" w:w="7030"/>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Maintenance Infrastructure</w:t>
            </w:r>
          </w:p>
        </w:tc>
      </w:tr>
      <w:tr>
        <w:tc>
          <w:tcPr>
            <w:tcW w:type="dxa" w:w="2381"/>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Étudiant(e)</w:t>
            </w:r>
          </w:p>
        </w:tc>
        <w:tc>
          <w:tcPr>
            <w:tcW w:type="dxa" w:w="7030"/>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[Nom et prénom à compléter]</w:t>
            </w:r>
          </w:p>
        </w:tc>
      </w:tr>
      <w:tr>
        <w:tc>
          <w:tcPr>
            <w:tcW w:type="dxa" w:w="2381"/>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Encadrant ONCF</w:t>
            </w:r>
          </w:p>
        </w:tc>
        <w:tc>
          <w:tcPr>
            <w:tcW w:type="dxa" w:w="7030"/>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[Nom à compléter]</w:t>
            </w:r>
          </w:p>
        </w:tc>
      </w:tr>
      <w:tr>
        <w:tc>
          <w:tcPr>
            <w:tcW w:type="dxa" w:w="2381"/>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Encadrant pédagogique</w:t>
            </w:r>
          </w:p>
        </w:tc>
        <w:tc>
          <w:tcPr>
            <w:tcW w:type="dxa" w:w="7030"/>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[Nom à compléter]</w:t>
            </w:r>
          </w:p>
        </w:tc>
      </w:tr>
      <w:tr>
        <w:tc>
          <w:tcPr>
            <w:tcW w:type="dxa" w:w="2381"/>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Année</w:t>
            </w:r>
          </w:p>
        </w:tc>
        <w:tc>
          <w:tcPr>
            <w:tcW w:type="dxa" w:w="7030"/>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2026</w:t>
            </w:r>
          </w:p>
        </w:tc>
      </w:tr>
      <w:tr>
        <w:tc>
          <w:tcPr>
            <w:tcW w:type="dxa" w:w="2381"/>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Version</w:t>
            </w:r>
          </w:p>
        </w:tc>
        <w:tc>
          <w:tcPr>
            <w:tcW w:type="dxa" w:w="7030"/>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20"/>
              </w:rPr>
              <w:t>1.0 - Document simplifié</w:t>
            </w:r>
          </w:p>
        </w:tc>
      </w:tr>
    </w:tbl>
    <w:p>
      <w:pPr>
        <w:widowControl/>
        <w:spacing w:after="20"/>
      </w:pPr>
    </w:p>
    <w:p>
      <w:pPr>
        <w:widowControl/>
        <w:spacing w:before="400"/>
        <w:jc w:val="center"/>
      </w:pPr>
      <w:r>
        <w:rPr>
          <w:rFonts w:ascii="Calibri" w:hAnsi="Calibri" w:eastAsia="Calibri" w:cs="Calibri"/>
          <w:i/>
          <w:color w:val="667085"/>
          <w:sz w:val="19"/>
        </w:rPr>
        <w:t>Document de travail à valider par l'encadrant et les utilisateurs métier.</w:t>
      </w:r>
    </w:p>
    <w:p>
      <w:pPr>
        <w:widowControl/>
        <w:sectPr>
          <w:headerReference w:type="default" r:id="rId9"/>
          <w:headerReference w:type="even" r:id="rId10"/>
          <w:footerReference w:type="default" r:id="rId11"/>
          <w:footerReference w:type="even" r:id="rId12"/>
          <w:pgSz w:w="11906" w:h="16838"/>
          <w:pgMar w:top="1247" w:right="1247" w:bottom="1247" w:left="1247" w:header="709" w:footer="709" w:gutter="0"/>
          <w:cols w:space="720"/>
          <w:docGrid w:linePitch="360"/>
        </w:sectPr>
      </w:pPr>
    </w:p>
    <w:p>
      <w:pPr>
        <w:pStyle w:val="Heading1"/>
        <w:widowControl/>
      </w:pPr>
      <w:r>
        <w:t>0. Fiche d'identification du document</w:t>
      </w:r>
    </w:p>
    <w:tbl>
      <w:tblPr>
        <w:tblStyle w:val="TableGrid"/>
        <w:tblW w:type="dxa" w:w="9411"/>
        <w:jc w:val="left"/>
        <w:tblLayout w:type="fixed"/>
        <w:tblLook w:firstColumn="1" w:firstRow="1" w:lastColumn="0" w:lastRow="0" w:noHBand="0" w:noVBand="1" w:val="04A0"/>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Pr>
      <w:tblGrid>
        <w:gridCol w:w="2268"/>
        <w:gridCol w:w="7143"/>
      </w:tblGrid>
      <w:tr>
        <w:trPr>
          <w:tblHeader w:val="true"/>
        </w:trPr>
        <w:tc>
          <w:tcPr>
            <w:tcW w:type="dxa" w:w="2268"/>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9"/>
              </w:rPr>
              <w:t>Rubrique</w:t>
            </w:r>
          </w:p>
        </w:tc>
        <w:tc>
          <w:tcPr>
            <w:tcW w:type="dxa" w:w="7143"/>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9"/>
              </w:rPr>
              <w:t>Valeur</w:t>
            </w:r>
          </w:p>
        </w:tc>
      </w:tr>
      <w:tr>
        <w:tc>
          <w:tcPr>
            <w:tcW w:type="dxa" w:w="2268"/>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Finalité</w:t>
            </w:r>
          </w:p>
        </w:tc>
        <w:tc>
          <w:tcPr>
            <w:tcW w:type="dxa" w:w="7143"/>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Définir un prototype minimal pour créer, traiter et suivre les Demandes de Matières.</w:t>
            </w:r>
          </w:p>
        </w:tc>
      </w:tr>
      <w:tr>
        <w:tc>
          <w:tcPr>
            <w:tcW w:type="dxa" w:w="2268"/>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Livrable</w:t>
            </w:r>
          </w:p>
        </w:tc>
        <w:tc>
          <w:tcPr>
            <w:tcW w:type="dxa" w:w="7143"/>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Application web monolithique développée avec Django.</w:t>
            </w:r>
          </w:p>
        </w:tc>
      </w:tr>
      <w:tr>
        <w:tc>
          <w:tcPr>
            <w:tcW w:type="dxa" w:w="2268"/>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Utilisateurs</w:t>
            </w:r>
          </w:p>
        </w:tc>
        <w:tc>
          <w:tcPr>
            <w:tcW w:type="dxa" w:w="7143"/>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District, DRIC, DMI, MCIC et Administrateur.</w:t>
            </w:r>
          </w:p>
        </w:tc>
      </w:tr>
      <w:tr>
        <w:tc>
          <w:tcPr>
            <w:tcW w:type="dxa" w:w="2268"/>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Base de données</w:t>
            </w:r>
          </w:p>
        </w:tc>
        <w:tc>
          <w:tcPr>
            <w:tcW w:type="dxa" w:w="7143"/>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SQLite pour le prototype académique.</w:t>
            </w:r>
          </w:p>
        </w:tc>
      </w:tr>
      <w:tr>
        <w:tc>
          <w:tcPr>
            <w:tcW w:type="dxa" w:w="2268"/>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Statut</w:t>
            </w:r>
          </w:p>
        </w:tc>
        <w:tc>
          <w:tcPr>
            <w:tcW w:type="dxa" w:w="7143"/>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À valider.</w:t>
            </w:r>
          </w:p>
        </w:tc>
      </w:tr>
    </w:tbl>
    <w:p>
      <w:pPr>
        <w:widowControl/>
        <w:spacing w:after="20"/>
      </w:pPr>
    </w:p>
    <w:p>
      <w:pPr>
        <w:pStyle w:val="Heading2"/>
        <w:widowControl/>
      </w:pPr>
      <w:r>
        <w:t>Sommaire</w:t>
      </w:r>
    </w:p>
    <w:p>
      <w:pPr>
        <w:pStyle w:val="ListBullet"/>
        <w:widowControl/>
      </w:pPr>
      <w:r>
        <w:rPr>
          <w:rFonts w:ascii="Calibri" w:hAnsi="Calibri" w:eastAsia="Calibri" w:cs="Calibri"/>
          <w:color w:val="202124"/>
          <w:sz w:val="22"/>
        </w:rPr>
        <w:t>1. Contexte, problématique et objectifs</w:t>
      </w:r>
    </w:p>
    <w:p>
      <w:pPr>
        <w:pStyle w:val="ListBullet"/>
        <w:widowControl/>
      </w:pPr>
      <w:r>
        <w:rPr>
          <w:rFonts w:ascii="Calibri" w:hAnsi="Calibri" w:eastAsia="Calibri" w:cs="Calibri"/>
          <w:color w:val="202124"/>
          <w:sz w:val="22"/>
        </w:rPr>
        <w:t>2. Périmètre fonctionnel</w:t>
      </w:r>
    </w:p>
    <w:p>
      <w:pPr>
        <w:pStyle w:val="ListBullet"/>
        <w:widowControl/>
      </w:pPr>
      <w:r>
        <w:rPr>
          <w:rFonts w:ascii="Calibri" w:hAnsi="Calibri" w:eastAsia="Calibri" w:cs="Calibri"/>
          <w:color w:val="202124"/>
          <w:sz w:val="22"/>
        </w:rPr>
        <w:t>3. Acteurs et responsabilités</w:t>
      </w:r>
    </w:p>
    <w:p>
      <w:pPr>
        <w:pStyle w:val="ListBullet"/>
        <w:widowControl/>
      </w:pPr>
      <w:r>
        <w:rPr>
          <w:rFonts w:ascii="Calibri" w:hAnsi="Calibri" w:eastAsia="Calibri" w:cs="Calibri"/>
          <w:color w:val="202124"/>
          <w:sz w:val="22"/>
        </w:rPr>
        <w:t>4. Workflow et statuts</w:t>
      </w:r>
    </w:p>
    <w:p>
      <w:pPr>
        <w:pStyle w:val="ListBullet"/>
        <w:widowControl/>
      </w:pPr>
      <w:r>
        <w:rPr>
          <w:rFonts w:ascii="Calibri" w:hAnsi="Calibri" w:eastAsia="Calibri" w:cs="Calibri"/>
          <w:color w:val="202124"/>
          <w:sz w:val="22"/>
        </w:rPr>
        <w:t>5. Diagramme de cas d'utilisation</w:t>
      </w:r>
    </w:p>
    <w:p>
      <w:pPr>
        <w:pStyle w:val="ListBullet"/>
        <w:widowControl/>
      </w:pPr>
      <w:r>
        <w:rPr>
          <w:rFonts w:ascii="Calibri" w:hAnsi="Calibri" w:eastAsia="Calibri" w:cs="Calibri"/>
          <w:color w:val="202124"/>
          <w:sz w:val="22"/>
        </w:rPr>
        <w:t>6. Exigences fonctionnelles</w:t>
      </w:r>
    </w:p>
    <w:p>
      <w:pPr>
        <w:pStyle w:val="ListBullet"/>
        <w:widowControl/>
      </w:pPr>
      <w:r>
        <w:rPr>
          <w:rFonts w:ascii="Calibri" w:hAnsi="Calibri" w:eastAsia="Calibri" w:cs="Calibri"/>
          <w:color w:val="202124"/>
          <w:sz w:val="22"/>
        </w:rPr>
        <w:t>7. Règles de gestion</w:t>
      </w:r>
    </w:p>
    <w:p>
      <w:pPr>
        <w:pStyle w:val="ListBullet"/>
        <w:widowControl/>
      </w:pPr>
      <w:r>
        <w:rPr>
          <w:rFonts w:ascii="Calibri" w:hAnsi="Calibri" w:eastAsia="Calibri" w:cs="Calibri"/>
          <w:color w:val="202124"/>
          <w:sz w:val="22"/>
        </w:rPr>
        <w:t>8. Exigences non fonctionnelles</w:t>
      </w:r>
    </w:p>
    <w:p>
      <w:pPr>
        <w:pStyle w:val="ListBullet"/>
        <w:widowControl/>
      </w:pPr>
      <w:r>
        <w:rPr>
          <w:rFonts w:ascii="Calibri" w:hAnsi="Calibri" w:eastAsia="Calibri" w:cs="Calibri"/>
          <w:color w:val="202124"/>
          <w:sz w:val="22"/>
        </w:rPr>
        <w:t>9. Architecture et stack technique</w:t>
      </w:r>
    </w:p>
    <w:p>
      <w:pPr>
        <w:pStyle w:val="ListBullet"/>
        <w:widowControl/>
      </w:pPr>
      <w:r>
        <w:rPr>
          <w:rFonts w:ascii="Calibri" w:hAnsi="Calibri" w:eastAsia="Calibri" w:cs="Calibri"/>
          <w:color w:val="202124"/>
          <w:sz w:val="22"/>
        </w:rPr>
        <w:t>10. Modèle de données et diagramme de classes</w:t>
      </w:r>
    </w:p>
    <w:p>
      <w:pPr>
        <w:pStyle w:val="ListBullet"/>
        <w:widowControl/>
      </w:pPr>
      <w:r>
        <w:rPr>
          <w:rFonts w:ascii="Calibri" w:hAnsi="Calibri" w:eastAsia="Calibri" w:cs="Calibri"/>
          <w:color w:val="202124"/>
          <w:sz w:val="22"/>
        </w:rPr>
        <w:t>11. Interfaces front-end minimales</w:t>
      </w:r>
    </w:p>
    <w:p>
      <w:pPr>
        <w:pStyle w:val="ListBullet"/>
        <w:widowControl/>
      </w:pPr>
      <w:r>
        <w:rPr>
          <w:rFonts w:ascii="Calibri" w:hAnsi="Calibri" w:eastAsia="Calibri" w:cs="Calibri"/>
          <w:color w:val="202124"/>
          <w:sz w:val="22"/>
        </w:rPr>
        <w:t>12. Tests et critères d'acceptation</w:t>
      </w:r>
    </w:p>
    <w:p>
      <w:pPr>
        <w:spacing w:before="100" w:after="160" w:line="264" w:lineRule="auto"/>
        <w:ind w:left="125" w:right="125"/>
        <w:shd w:val="clear" w:fill="E8EEF5"/>
        <w:widowControl/>
        <w:pBdr>
          <w:top w:val="single" w:sz="4" w:space="5" w:color="E8EEF5"/>
          <w:left w:val="single" w:sz="4" w:space="5" w:color="E8EEF5"/>
          <w:bottom w:val="single" w:sz="4" w:space="5" w:color="E8EEF5"/>
          <w:right w:val="single" w:sz="4" w:space="5" w:color="E8EEF5"/>
        </w:pBdr>
      </w:pPr>
      <w:r>
        <w:rPr>
          <w:rFonts w:ascii="Calibri" w:hAnsi="Calibri" w:eastAsia="Calibri" w:cs="Calibri"/>
          <w:b/>
          <w:color w:val="0B2545"/>
          <w:sz w:val="22"/>
        </w:rPr>
        <w:t>Principe directeur : livrer un MVP pédagogique cohérent et démontrable, sans reproduire la complexité d'un système complet d'approvisionnement.</w:t>
      </w:r>
    </w:p>
    <w:p>
      <w:pPr>
        <w:widowControl/>
      </w:pPr>
      <w:r>
        <w:br w:type="page"/>
      </w:r>
    </w:p>
    <w:p>
      <w:pPr>
        <w:pStyle w:val="Heading1"/>
        <w:widowControl/>
      </w:pPr>
      <w:r>
        <w:t>1. Contexte, problématique et objectifs</w:t>
      </w:r>
    </w:p>
    <w:p>
      <w:pPr>
        <w:pStyle w:val="Heading2"/>
        <w:widowControl/>
      </w:pPr>
      <w:r>
        <w:t>1.1 Contexte</w:t>
      </w:r>
    </w:p>
    <w:p>
      <w:pPr>
        <w:widowControl/>
      </w:pPr>
      <w:r>
        <w:rPr>
          <w:rFonts w:ascii="Calibri" w:hAnsi="Calibri" w:eastAsia="Calibri" w:cs="Calibri"/>
          <w:color w:val="202124"/>
          <w:sz w:val="22"/>
        </w:rPr>
        <w:t>Le Département Maintenance Infrastructure de l'ONCF traite des Demandes de Matières émises par les Districts pour leurs activités de maintenance. Le circuit implique successivement la DRIC, la DMI et le MCIC avant la réception finale par le District.</w:t>
      </w:r>
    </w:p>
    <w:p>
      <w:pPr>
        <w:widowControl/>
      </w:pPr>
      <w:r>
        <w:rPr>
          <w:rFonts w:ascii="Calibri" w:hAnsi="Calibri" w:eastAsia="Calibri" w:cs="Calibri"/>
          <w:color w:val="202124"/>
          <w:sz w:val="22"/>
        </w:rPr>
        <w:t>Le projet vise une application web centralisée permettant de remplacer un suivi dispersé par une base commune. La présente version limite volontairement le besoin aux fonctions indispensables à une démonstration académique.</w:t>
      </w:r>
    </w:p>
    <w:p>
      <w:pPr>
        <w:pStyle w:val="Heading2"/>
        <w:widowControl/>
      </w:pPr>
      <w:r>
        <w:t>1.2 Problématique</w:t>
      </w:r>
    </w:p>
    <w:p>
      <w:pPr>
        <w:spacing w:before="100" w:after="160" w:line="264" w:lineRule="auto"/>
        <w:ind w:left="125" w:right="125"/>
        <w:shd w:val="clear" w:fill="E8EEF5"/>
        <w:widowControl/>
        <w:pBdr>
          <w:top w:val="single" w:sz="4" w:space="5" w:color="E8EEF5"/>
          <w:left w:val="single" w:sz="4" w:space="5" w:color="E8EEF5"/>
          <w:bottom w:val="single" w:sz="4" w:space="5" w:color="E8EEF5"/>
          <w:right w:val="single" w:sz="4" w:space="5" w:color="E8EEF5"/>
        </w:pBdr>
      </w:pPr>
      <w:r>
        <w:rPr>
          <w:rFonts w:ascii="Calibri" w:hAnsi="Calibri" w:eastAsia="Calibri" w:cs="Calibri"/>
          <w:b/>
          <w:color w:val="0B2545"/>
          <w:sz w:val="22"/>
        </w:rPr>
        <w:t>Comment assurer, avec une application simple, la transmission d'une DM entre les acteurs ONCF tout en rendant visibles son statut, son responsable courant et son historique ?</w:t>
      </w:r>
    </w:p>
    <w:p>
      <w:pPr>
        <w:pStyle w:val="Heading2"/>
        <w:widowControl/>
      </w:pPr>
      <w:r>
        <w:t>1.3 Objectif général</w:t>
      </w:r>
    </w:p>
    <w:p>
      <w:pPr>
        <w:widowControl/>
      </w:pPr>
      <w:r>
        <w:rPr>
          <w:rFonts w:ascii="Calibri" w:hAnsi="Calibri" w:eastAsia="Calibri" w:cs="Calibri"/>
          <w:color w:val="202124"/>
          <w:sz w:val="22"/>
        </w:rPr>
        <w:t>Mettre à disposition un prototype web sécurisé permettant de créer, transmettre, valider, mettre à disposition et clôturer une Demande de Matières.</w:t>
      </w:r>
    </w:p>
    <w:p>
      <w:pPr>
        <w:pStyle w:val="Heading2"/>
        <w:widowControl/>
      </w:pPr>
      <w:r>
        <w:t>1.4 Objectifs spécifiques</w:t>
      </w:r>
    </w:p>
    <w:p>
      <w:pPr>
        <w:pStyle w:val="ListBullet"/>
        <w:widowControl/>
      </w:pPr>
      <w:r>
        <w:rPr>
          <w:rFonts w:ascii="Calibri" w:hAnsi="Calibri" w:eastAsia="Calibri" w:cs="Calibri"/>
          <w:color w:val="202124"/>
          <w:sz w:val="22"/>
        </w:rPr>
        <w:t>Centraliser les DM et leurs lignes d'articles dans une base unique.</w:t>
      </w:r>
    </w:p>
    <w:p>
      <w:pPr>
        <w:pStyle w:val="ListBullet"/>
        <w:widowControl/>
      </w:pPr>
      <w:r>
        <w:rPr>
          <w:rFonts w:ascii="Calibri" w:hAnsi="Calibri" w:eastAsia="Calibri" w:cs="Calibri"/>
          <w:color w:val="202124"/>
          <w:sz w:val="22"/>
        </w:rPr>
        <w:t>Respecter un circuit simple : District, DRIC, DMI, MCIC, puis retour au District.</w:t>
      </w:r>
    </w:p>
    <w:p>
      <w:pPr>
        <w:pStyle w:val="ListBullet"/>
        <w:widowControl/>
      </w:pPr>
      <w:r>
        <w:rPr>
          <w:rFonts w:ascii="Calibri" w:hAnsi="Calibri" w:eastAsia="Calibri" w:cs="Calibri"/>
          <w:color w:val="202124"/>
          <w:sz w:val="22"/>
        </w:rPr>
        <w:t>Limiter les actions disponibles selon le rôle de l'utilisateur.</w:t>
      </w:r>
    </w:p>
    <w:p>
      <w:pPr>
        <w:pStyle w:val="ListBullet"/>
        <w:widowControl/>
      </w:pPr>
      <w:r>
        <w:rPr>
          <w:rFonts w:ascii="Calibri" w:hAnsi="Calibri" w:eastAsia="Calibri" w:cs="Calibri"/>
          <w:color w:val="202124"/>
          <w:sz w:val="22"/>
        </w:rPr>
        <w:t>Conserver un historique minimal des changements de statut.</w:t>
      </w:r>
    </w:p>
    <w:p>
      <w:pPr>
        <w:pStyle w:val="ListBullet"/>
        <w:widowControl/>
      </w:pPr>
      <w:r>
        <w:rPr>
          <w:rFonts w:ascii="Calibri" w:hAnsi="Calibri" w:eastAsia="Calibri" w:cs="Calibri"/>
          <w:color w:val="202124"/>
          <w:sz w:val="22"/>
        </w:rPr>
        <w:t>Fournir quatre écrans simples, utilisables depuis un navigateur.</w:t>
      </w:r>
    </w:p>
    <w:p>
      <w:pPr>
        <w:widowControl/>
      </w:pPr>
      <w:r>
        <w:br w:type="page"/>
      </w:r>
    </w:p>
    <w:p>
      <w:pPr>
        <w:pStyle w:val="Heading1"/>
        <w:widowControl/>
      </w:pPr>
      <w:r>
        <w:t>2. Périmètre fonctionnel</w:t>
      </w:r>
    </w:p>
    <w:p>
      <w:pPr>
        <w:pStyle w:val="Heading2"/>
        <w:widowControl/>
      </w:pPr>
      <w:r>
        <w:t>2.1 Fonctions incluses dans le MVP</w:t>
      </w:r>
    </w:p>
    <w:p>
      <w:pPr>
        <w:pStyle w:val="ListBullet"/>
        <w:widowControl/>
      </w:pPr>
      <w:r>
        <w:rPr>
          <w:rFonts w:ascii="Calibri" w:hAnsi="Calibri" w:eastAsia="Calibri" w:cs="Calibri"/>
          <w:color w:val="202124"/>
          <w:sz w:val="22"/>
        </w:rPr>
        <w:t>Connexion et déconnexion avec un compte actif.</w:t>
      </w:r>
    </w:p>
    <w:p>
      <w:pPr>
        <w:pStyle w:val="ListBullet"/>
        <w:widowControl/>
      </w:pPr>
      <w:r>
        <w:rPr>
          <w:rFonts w:ascii="Calibri" w:hAnsi="Calibri" w:eastAsia="Calibri" w:cs="Calibri"/>
          <w:color w:val="202124"/>
          <w:sz w:val="22"/>
        </w:rPr>
        <w:t>Gestion des utilisateurs, rôles et articles via l'administration Django.</w:t>
      </w:r>
    </w:p>
    <w:p>
      <w:pPr>
        <w:pStyle w:val="ListBullet"/>
        <w:widowControl/>
      </w:pPr>
      <w:r>
        <w:rPr>
          <w:rFonts w:ascii="Calibri" w:hAnsi="Calibri" w:eastAsia="Calibri" w:cs="Calibri"/>
          <w:color w:val="202124"/>
          <w:sz w:val="22"/>
        </w:rPr>
        <w:t>Création et modification d'une DM tant qu'elle est en brouillon.</w:t>
      </w:r>
    </w:p>
    <w:p>
      <w:pPr>
        <w:pStyle w:val="ListBullet"/>
        <w:widowControl/>
      </w:pPr>
      <w:r>
        <w:rPr>
          <w:rFonts w:ascii="Calibri" w:hAnsi="Calibri" w:eastAsia="Calibri" w:cs="Calibri"/>
          <w:color w:val="202124"/>
          <w:sz w:val="22"/>
        </w:rPr>
        <w:t>Ajout d'une ou plusieurs lignes d'articles avec quantité demandée.</w:t>
      </w:r>
    </w:p>
    <w:p>
      <w:pPr>
        <w:pStyle w:val="ListBullet"/>
        <w:widowControl/>
      </w:pPr>
      <w:r>
        <w:rPr>
          <w:rFonts w:ascii="Calibri" w:hAnsi="Calibri" w:eastAsia="Calibri" w:cs="Calibri"/>
          <w:color w:val="202124"/>
          <w:sz w:val="22"/>
        </w:rPr>
        <w:t>Transmission et traitement selon le workflow défini.</w:t>
      </w:r>
    </w:p>
    <w:p>
      <w:pPr>
        <w:pStyle w:val="ListBullet"/>
        <w:widowControl/>
      </w:pPr>
      <w:r>
        <w:rPr>
          <w:rFonts w:ascii="Calibri" w:hAnsi="Calibri" w:eastAsia="Calibri" w:cs="Calibri"/>
          <w:color w:val="202124"/>
          <w:sz w:val="22"/>
        </w:rPr>
        <w:t>Consultation du statut, des lignes et de l'historique d'une DM.</w:t>
      </w:r>
    </w:p>
    <w:p>
      <w:pPr>
        <w:pStyle w:val="ListBullet"/>
        <w:widowControl/>
      </w:pPr>
      <w:r>
        <w:rPr>
          <w:rFonts w:ascii="Calibri" w:hAnsi="Calibri" w:eastAsia="Calibri" w:cs="Calibri"/>
          <w:color w:val="202124"/>
          <w:sz w:val="22"/>
        </w:rPr>
        <w:t>Rejet définitif avec motif obligatoire.</w:t>
      </w:r>
    </w:p>
    <w:p>
      <w:pPr>
        <w:pStyle w:val="ListBullet"/>
        <w:widowControl/>
      </w:pPr>
      <w:r>
        <w:rPr>
          <w:rFonts w:ascii="Calibri" w:hAnsi="Calibri" w:eastAsia="Calibri" w:cs="Calibri"/>
          <w:color w:val="202124"/>
          <w:sz w:val="22"/>
        </w:rPr>
        <w:t>Confirmation de réception et clôture par le District.</w:t>
      </w:r>
    </w:p>
    <w:p>
      <w:pPr>
        <w:pStyle w:val="Heading2"/>
        <w:widowControl/>
      </w:pPr>
      <w:r>
        <w:t>2.2 Fonctions hors périmètre</w:t>
      </w:r>
    </w:p>
    <w:tbl>
      <w:tblPr>
        <w:tblStyle w:val="TableGrid"/>
        <w:tblW w:type="dxa" w:w="9411"/>
        <w:jc w:val="left"/>
        <w:tblLayout w:type="fixed"/>
        <w:tblLook w:firstColumn="1" w:firstRow="1" w:lastColumn="0" w:lastRow="0" w:noHBand="0" w:noVBand="1" w:val="04A0"/>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Pr>
      <w:tblGrid>
        <w:gridCol w:w="1928"/>
        <w:gridCol w:w="7483"/>
      </w:tblGrid>
      <w:tr>
        <w:trPr>
          <w:tblHeader w:val="true"/>
        </w:trPr>
        <w:tc>
          <w:tcPr>
            <w:tcW w:type="dxa" w:w="1928"/>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9"/>
              </w:rPr>
              <w:t>Domaine</w:t>
            </w:r>
          </w:p>
        </w:tc>
        <w:tc>
          <w:tcPr>
            <w:tcW w:type="dxa" w:w="7483"/>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9"/>
              </w:rPr>
              <w:t>Éléments exclus du MVP</w:t>
            </w:r>
          </w:p>
        </w:tc>
      </w:tr>
      <w:tr>
        <w:tc>
          <w:tcPr>
            <w:tcW w:type="dxa" w:w="1928"/>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Stock</w:t>
            </w:r>
          </w:p>
        </w:tc>
        <w:tc>
          <w:tcPr>
            <w:tcW w:type="dxa" w:w="7483"/>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Quantités disponibles, mouvements, réservation et valorisation.</w:t>
            </w:r>
          </w:p>
        </w:tc>
      </w:tr>
      <w:tr>
        <w:tc>
          <w:tcPr>
            <w:tcW w:type="dxa" w:w="1928"/>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Échanges</w:t>
            </w:r>
          </w:p>
        </w:tc>
        <w:tc>
          <w:tcPr>
            <w:tcW w:type="dxa" w:w="7483"/>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Import Excel, export CSV/PDF, e-mails et notifications externes.</w:t>
            </w:r>
          </w:p>
        </w:tc>
      </w:tr>
      <w:tr>
        <w:tc>
          <w:tcPr>
            <w:tcW w:type="dxa" w:w="1928"/>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Documents</w:t>
            </w:r>
          </w:p>
        </w:tc>
        <w:tc>
          <w:tcPr>
            <w:tcW w:type="dxa" w:w="7483"/>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Pièces jointes, signature électronique et archivage documentaire.</w:t>
            </w:r>
          </w:p>
        </w:tc>
      </w:tr>
      <w:tr>
        <w:tc>
          <w:tcPr>
            <w:tcW w:type="dxa" w:w="1928"/>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Pilotage</w:t>
            </w:r>
          </w:p>
        </w:tc>
        <w:tc>
          <w:tcPr>
            <w:tcW w:type="dxa" w:w="7483"/>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Tableaux de bord avancés, indicateurs de performance et alertes de délai.</w:t>
            </w:r>
          </w:p>
        </w:tc>
      </w:tr>
      <w:tr>
        <w:tc>
          <w:tcPr>
            <w:tcW w:type="dxa" w:w="1928"/>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Architecture</w:t>
            </w:r>
          </w:p>
        </w:tc>
        <w:tc>
          <w:tcPr>
            <w:tcW w:type="dxa" w:w="7483"/>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API REST, application mobile, Docker, services asynchrones et mode hors connexion.</w:t>
            </w:r>
          </w:p>
        </w:tc>
      </w:tr>
      <w:tr>
        <w:tc>
          <w:tcPr>
            <w:tcW w:type="dxa" w:w="1928"/>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Intégrations</w:t>
            </w:r>
          </w:p>
        </w:tc>
        <w:tc>
          <w:tcPr>
            <w:tcW w:type="dxa" w:w="7483"/>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Connexion à Escala, au SI achats ou à tout autre SI ONCF.</w:t>
            </w:r>
          </w:p>
        </w:tc>
      </w:tr>
    </w:tbl>
    <w:p>
      <w:pPr>
        <w:widowControl/>
        <w:spacing w:after="20"/>
      </w:pPr>
    </w:p>
    <w:p>
      <w:pPr>
        <w:widowControl/>
      </w:pPr>
      <w:r>
        <w:br w:type="page"/>
      </w:r>
    </w:p>
    <w:p>
      <w:pPr>
        <w:pStyle w:val="Heading1"/>
        <w:widowControl/>
      </w:pPr>
      <w:r>
        <w:t>3. Acteurs et responsabilités</w:t>
      </w:r>
    </w:p>
    <w:tbl>
      <w:tblPr>
        <w:tblStyle w:val="TableGrid"/>
        <w:tblW w:type="dxa" w:w="9411"/>
        <w:jc w:val="left"/>
        <w:tblLayout w:type="fixed"/>
        <w:tblLook w:firstColumn="1" w:firstRow="1" w:lastColumn="0" w:lastRow="0" w:noHBand="0" w:noVBand="1" w:val="04A0"/>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Pr>
      <w:tblGrid>
        <w:gridCol w:w="1928"/>
        <w:gridCol w:w="7483"/>
      </w:tblGrid>
      <w:tr>
        <w:trPr>
          <w:tblHeader w:val="true"/>
        </w:trPr>
        <w:tc>
          <w:tcPr>
            <w:tcW w:type="dxa" w:w="1928"/>
            <w:shd w:fill="E8EEF5"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9"/>
              </w:rPr>
              <w:t>Acteur</w:t>
            </w:r>
          </w:p>
        </w:tc>
        <w:tc>
          <w:tcPr>
            <w:tcW w:type="dxa" w:w="7483"/>
            <w:shd w:fill="E8EEF5"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9"/>
              </w:rPr>
              <w:t>Responsabilité principale</w:t>
            </w:r>
          </w:p>
        </w:tc>
      </w:tr>
      <w:tr>
        <w:tc>
          <w:tcPr>
            <w:tcW w:type="dxa" w:w="1928"/>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District</w:t>
            </w:r>
          </w:p>
        </w:tc>
        <w:tc>
          <w:tcPr>
            <w:tcW w:type="dxa" w:w="7483"/>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Crée la DM, ajoute ses lignes, la transmet, suit son état et confirme la réception.</w:t>
            </w:r>
          </w:p>
        </w:tc>
      </w:tr>
      <w:tr>
        <w:tc>
          <w:tcPr>
            <w:tcW w:type="dxa" w:w="1928"/>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DRIC</w:t>
            </w:r>
          </w:p>
        </w:tc>
        <w:tc>
          <w:tcPr>
            <w:tcW w:type="dxa" w:w="7483"/>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Consulte les DM en attente, puis les valide ou les rejette définitivement avec un motif.</w:t>
            </w:r>
          </w:p>
        </w:tc>
      </w:tr>
      <w:tr>
        <w:tc>
          <w:tcPr>
            <w:tcW w:type="dxa" w:w="1928"/>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DMI</w:t>
            </w:r>
          </w:p>
        </w:tc>
        <w:tc>
          <w:tcPr>
            <w:tcW w:type="dxa" w:w="7483"/>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Approuve les DM validées par la DRIC ou les rejette définitivement avec un motif.</w:t>
            </w:r>
          </w:p>
        </w:tc>
      </w:tr>
      <w:tr>
        <w:tc>
          <w:tcPr>
            <w:tcW w:type="dxa" w:w="1928"/>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MCIC</w:t>
            </w:r>
          </w:p>
        </w:tc>
        <w:tc>
          <w:tcPr>
            <w:tcW w:type="dxa" w:w="7483"/>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Traite la DM approuvée, indique sa mise à disposition et la transmet au District.</w:t>
            </w:r>
          </w:p>
        </w:tc>
      </w:tr>
      <w:tr>
        <w:tc>
          <w:tcPr>
            <w:tcW w:type="dxa" w:w="1928"/>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Administrateur</w:t>
            </w:r>
          </w:p>
        </w:tc>
        <w:tc>
          <w:tcPr>
            <w:tcW w:type="dxa" w:w="7483"/>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9"/>
              </w:rPr>
              <w:t>Gère les comptes, les rôles et les articles dans l'administration native de Django.</w:t>
            </w:r>
          </w:p>
        </w:tc>
      </w:tr>
    </w:tbl>
    <w:p>
      <w:pPr>
        <w:widowControl/>
        <w:spacing w:after="20"/>
      </w:pPr>
    </w:p>
    <w:p>
      <w:pPr>
        <w:pStyle w:val="Heading2"/>
        <w:widowControl/>
      </w:pPr>
      <w:r>
        <w:t>3.1 Principes d'autorisation</w:t>
      </w:r>
    </w:p>
    <w:p>
      <w:pPr>
        <w:pStyle w:val="ListBullet"/>
        <w:widowControl/>
      </w:pPr>
      <w:r>
        <w:rPr>
          <w:rFonts w:ascii="Calibri" w:hAnsi="Calibri" w:eastAsia="Calibri" w:cs="Calibri"/>
          <w:color w:val="202124"/>
          <w:sz w:val="22"/>
        </w:rPr>
        <w:t>Chaque utilisateur possède un seul rôle principal pour le MVP.</w:t>
      </w:r>
    </w:p>
    <w:p>
      <w:pPr>
        <w:pStyle w:val="ListBullet"/>
        <w:widowControl/>
      </w:pPr>
      <w:r>
        <w:rPr>
          <w:rFonts w:ascii="Calibri" w:hAnsi="Calibri" w:eastAsia="Calibri" w:cs="Calibri"/>
          <w:color w:val="202124"/>
          <w:sz w:val="22"/>
        </w:rPr>
        <w:t>Les permissions sont contrôlées côté serveur sur chaque action.</w:t>
      </w:r>
    </w:p>
    <w:p>
      <w:pPr>
        <w:pStyle w:val="ListBullet"/>
        <w:widowControl/>
      </w:pPr>
      <w:r>
        <w:rPr>
          <w:rFonts w:ascii="Calibri" w:hAnsi="Calibri" w:eastAsia="Calibri" w:cs="Calibri"/>
          <w:color w:val="202124"/>
          <w:sz w:val="22"/>
        </w:rPr>
        <w:t>Un bouton métier n'est affiché que si l'utilisateur peut exécuter l'action.</w:t>
      </w:r>
    </w:p>
    <w:p>
      <w:pPr>
        <w:pStyle w:val="ListBullet"/>
        <w:widowControl/>
      </w:pPr>
      <w:r>
        <w:rPr>
          <w:rFonts w:ascii="Calibri" w:hAnsi="Calibri" w:eastAsia="Calibri" w:cs="Calibri"/>
          <w:color w:val="202124"/>
          <w:sz w:val="22"/>
        </w:rPr>
        <w:t>L'Administrateur n'effectue aucune décision métier sur les DM.</w:t>
      </w:r>
    </w:p>
    <w:p>
      <w:pPr>
        <w:widowControl/>
      </w:pPr>
      <w:r>
        <w:br w:type="page"/>
      </w:r>
    </w:p>
    <w:p>
      <w:pPr>
        <w:pStyle w:val="Heading1"/>
        <w:widowControl/>
      </w:pPr>
      <w:r>
        <w:t>4. Workflow et statuts</w:t>
      </w:r>
    </w:p>
    <w:p>
      <w:pPr>
        <w:pStyle w:val="Heading2"/>
        <w:widowControl/>
      </w:pPr>
      <w:r>
        <w:t>4.1 Circuit nominal</w:t>
      </w:r>
    </w:p>
    <w:p>
      <w:pPr>
        <w:pStyle w:val="ListNumber"/>
        <w:widowControl/>
      </w:pPr>
      <w:r>
        <w:rPr>
          <w:rFonts w:ascii="Calibri" w:hAnsi="Calibri" w:eastAsia="Calibri" w:cs="Calibri"/>
          <w:color w:val="202124"/>
          <w:sz w:val="22"/>
        </w:rPr>
        <w:t>Le District crée une DM en brouillon et ajoute au moins une ligne d'article.</w:t>
      </w:r>
    </w:p>
    <w:p>
      <w:pPr>
        <w:pStyle w:val="ListNumber"/>
        <w:widowControl/>
      </w:pPr>
      <w:r>
        <w:rPr>
          <w:rFonts w:ascii="Calibri" w:hAnsi="Calibri" w:eastAsia="Calibri" w:cs="Calibri"/>
          <w:color w:val="202124"/>
          <w:sz w:val="22"/>
        </w:rPr>
        <w:t>Le District soumet la DM à la DRIC.</w:t>
      </w:r>
    </w:p>
    <w:p>
      <w:pPr>
        <w:pStyle w:val="ListNumber"/>
        <w:widowControl/>
      </w:pPr>
      <w:r>
        <w:rPr>
          <w:rFonts w:ascii="Calibri" w:hAnsi="Calibri" w:eastAsia="Calibri" w:cs="Calibri"/>
          <w:color w:val="202124"/>
          <w:sz w:val="22"/>
        </w:rPr>
        <w:t>La DRIC valide la DM et la transmet à la DMI.</w:t>
      </w:r>
    </w:p>
    <w:p>
      <w:pPr>
        <w:pStyle w:val="ListNumber"/>
        <w:widowControl/>
      </w:pPr>
      <w:r>
        <w:rPr>
          <w:rFonts w:ascii="Calibri" w:hAnsi="Calibri" w:eastAsia="Calibri" w:cs="Calibri"/>
          <w:color w:val="202124"/>
          <w:sz w:val="22"/>
        </w:rPr>
        <w:t>La DMI approuve la DM et la transmet au MCIC.</w:t>
      </w:r>
    </w:p>
    <w:p>
      <w:pPr>
        <w:pStyle w:val="ListNumber"/>
        <w:widowControl/>
      </w:pPr>
      <w:r>
        <w:rPr>
          <w:rFonts w:ascii="Calibri" w:hAnsi="Calibri" w:eastAsia="Calibri" w:cs="Calibri"/>
          <w:color w:val="202124"/>
          <w:sz w:val="22"/>
        </w:rPr>
        <w:t>Le MCIC met les matières à disposition et transmet la DM au District.</w:t>
      </w:r>
    </w:p>
    <w:p>
      <w:pPr>
        <w:pStyle w:val="ListNumber"/>
        <w:widowControl/>
      </w:pPr>
      <w:r>
        <w:rPr>
          <w:rFonts w:ascii="Calibri" w:hAnsi="Calibri" w:eastAsia="Calibri" w:cs="Calibri"/>
          <w:color w:val="202124"/>
          <w:sz w:val="22"/>
        </w:rPr>
        <w:t>Le District confirme la réception ; la DM devient clôturée.</w:t>
      </w:r>
    </w:p>
    <w:tbl>
      <w:tblPr>
        <w:tblStyle w:val="TableGrid"/>
        <w:tblW w:type="dxa" w:w="9411"/>
        <w:jc w:val="left"/>
        <w:tblLayout w:type="fixed"/>
        <w:tblLook w:firstColumn="1" w:firstRow="1" w:lastColumn="0" w:lastRow="0" w:noHBand="0" w:noVBand="1" w:val="04A0"/>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Pr>
      <w:tblGrid>
        <w:gridCol w:w="2324"/>
        <w:gridCol w:w="2835"/>
        <w:gridCol w:w="4252"/>
      </w:tblGrid>
      <w:tr>
        <w:trPr>
          <w:tblHeader w:val="true"/>
        </w:trPr>
        <w:tc>
          <w:tcPr>
            <w:tcW w:type="dxa" w:w="2324"/>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Statut</w:t>
            </w:r>
          </w:p>
        </w:tc>
        <w:tc>
          <w:tcPr>
            <w:tcW w:type="dxa" w:w="2835"/>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Responsable courant</w:t>
            </w:r>
          </w:p>
        </w:tc>
        <w:tc>
          <w:tcPr>
            <w:tcW w:type="dxa" w:w="4252"/>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Action suivante</w:t>
            </w:r>
          </w:p>
        </w:tc>
      </w:tr>
      <w:tr>
        <w:tc>
          <w:tcPr>
            <w:tcW w:type="dxa" w:w="232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Brouillon</w:t>
            </w:r>
          </w:p>
        </w:tc>
        <w:tc>
          <w:tcPr>
            <w:tcW w:type="dxa" w:w="2835"/>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District</w:t>
            </w:r>
          </w:p>
        </w:tc>
        <w:tc>
          <w:tcPr>
            <w:tcW w:type="dxa" w:w="4252"/>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Modifier ou soumettre</w:t>
            </w:r>
          </w:p>
        </w:tc>
      </w:tr>
      <w:tr>
        <w:tc>
          <w:tcPr>
            <w:tcW w:type="dxa" w:w="232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Attente DRIC</w:t>
            </w:r>
          </w:p>
        </w:tc>
        <w:tc>
          <w:tcPr>
            <w:tcW w:type="dxa" w:w="2835"/>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DRIC</w:t>
            </w:r>
          </w:p>
        </w:tc>
        <w:tc>
          <w:tcPr>
            <w:tcW w:type="dxa" w:w="4252"/>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Valider ou rejeter</w:t>
            </w:r>
          </w:p>
        </w:tc>
      </w:tr>
      <w:tr>
        <w:tc>
          <w:tcPr>
            <w:tcW w:type="dxa" w:w="232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Attente DMI</w:t>
            </w:r>
          </w:p>
        </w:tc>
        <w:tc>
          <w:tcPr>
            <w:tcW w:type="dxa" w:w="2835"/>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DMI</w:t>
            </w:r>
          </w:p>
        </w:tc>
        <w:tc>
          <w:tcPr>
            <w:tcW w:type="dxa" w:w="4252"/>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Approuver ou rejeter</w:t>
            </w:r>
          </w:p>
        </w:tc>
      </w:tr>
      <w:tr>
        <w:tc>
          <w:tcPr>
            <w:tcW w:type="dxa" w:w="232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Traitement MCIC</w:t>
            </w:r>
          </w:p>
        </w:tc>
        <w:tc>
          <w:tcPr>
            <w:tcW w:type="dxa" w:w="2835"/>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MCIC</w:t>
            </w:r>
          </w:p>
        </w:tc>
        <w:tc>
          <w:tcPr>
            <w:tcW w:type="dxa" w:w="4252"/>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Mettre à disposition</w:t>
            </w:r>
          </w:p>
        </w:tc>
      </w:tr>
      <w:tr>
        <w:tc>
          <w:tcPr>
            <w:tcW w:type="dxa" w:w="232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À recevoir</w:t>
            </w:r>
          </w:p>
        </w:tc>
        <w:tc>
          <w:tcPr>
            <w:tcW w:type="dxa" w:w="2835"/>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District</w:t>
            </w:r>
          </w:p>
        </w:tc>
        <w:tc>
          <w:tcPr>
            <w:tcW w:type="dxa" w:w="4252"/>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Confirmer la réception</w:t>
            </w:r>
          </w:p>
        </w:tc>
      </w:tr>
      <w:tr>
        <w:tc>
          <w:tcPr>
            <w:tcW w:type="dxa" w:w="232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Clôturée</w:t>
            </w:r>
          </w:p>
        </w:tc>
        <w:tc>
          <w:tcPr>
            <w:tcW w:type="dxa" w:w="2835"/>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Aucun</w:t>
            </w:r>
          </w:p>
        </w:tc>
        <w:tc>
          <w:tcPr>
            <w:tcW w:type="dxa" w:w="4252"/>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Lecture seule</w:t>
            </w:r>
          </w:p>
        </w:tc>
      </w:tr>
      <w:tr>
        <w:tc>
          <w:tcPr>
            <w:tcW w:type="dxa" w:w="232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Rejetée</w:t>
            </w:r>
          </w:p>
        </w:tc>
        <w:tc>
          <w:tcPr>
            <w:tcW w:type="dxa" w:w="2835"/>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Aucun</w:t>
            </w:r>
          </w:p>
        </w:tc>
        <w:tc>
          <w:tcPr>
            <w:tcW w:type="dxa" w:w="4252"/>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Lecture seule</w:t>
            </w:r>
          </w:p>
        </w:tc>
      </w:tr>
    </w:tbl>
    <w:p>
      <w:pPr>
        <w:widowControl/>
        <w:spacing w:after="20"/>
      </w:pPr>
    </w:p>
    <w:p>
      <w:pPr>
        <w:spacing w:before="100" w:after="160" w:line="264" w:lineRule="auto"/>
        <w:ind w:left="125" w:right="125"/>
        <w:shd w:val="clear" w:fill="FCE8E6"/>
        <w:widowControl/>
        <w:pBdr>
          <w:top w:val="single" w:sz="4" w:space="5" w:color="FCE8E6"/>
          <w:left w:val="single" w:sz="4" w:space="5" w:color="FCE8E6"/>
          <w:bottom w:val="single" w:sz="4" w:space="5" w:color="FCE8E6"/>
          <w:right w:val="single" w:sz="4" w:space="5" w:color="FCE8E6"/>
        </w:pBdr>
      </w:pPr>
      <w:r>
        <w:rPr>
          <w:rFonts w:ascii="Calibri" w:hAnsi="Calibri" w:eastAsia="Calibri" w:cs="Calibri"/>
          <w:b/>
          <w:color w:val="9B1C1C"/>
          <w:sz w:val="22"/>
        </w:rPr>
        <w:t>Le rejet est définitif dans ce MVP. Il exige un motif et n'entraîne jamais la suppression physique de la demande.</w:t>
      </w:r>
    </w:p>
    <w:p>
      <w:pPr>
        <w:widowControl/>
      </w:pPr>
      <w:r>
        <w:br w:type="page"/>
      </w:r>
    </w:p>
    <w:p>
      <w:pPr>
        <w:pStyle w:val="Heading1"/>
        <w:widowControl/>
      </w:pPr>
      <w:r>
        <w:t>5. Diagramme de cas d'utilisation</w:t>
      </w:r>
    </w:p>
    <w:p>
      <w:pPr>
        <w:keepNext/>
        <w:widowControl/>
        <w:spacing w:before="40" w:after="40"/>
        <w:jc w:val="center"/>
      </w:pPr>
      <w:r>
        <w:drawing>
          <wp:inline xmlns:a="http://schemas.openxmlformats.org/drawingml/2006/main" xmlns:pic="http://schemas.openxmlformats.org/drawingml/2006/picture">
            <wp:extent cx="5760000" cy="3600000"/>
            <wp:docPr id="1" name="Picture 1" descr="diagramme cas utilisation" title="diagramme cas utilisation"/>
            <wp:cNvGraphicFramePr>
              <a:graphicFrameLocks noChangeAspect="1"/>
            </wp:cNvGraphicFramePr>
            <a:graphic>
              <a:graphicData uri="http://schemas.openxmlformats.org/drawingml/2006/picture">
                <pic:pic>
                  <pic:nvPicPr>
                    <pic:cNvPr id="0" name="diagramme_cas_utilisation.png"/>
                    <pic:cNvPicPr/>
                  </pic:nvPicPr>
                  <pic:blipFill>
                    <a:blip r:embed="rId17"/>
                    <a:stretch>
                      <a:fillRect/>
                    </a:stretch>
                  </pic:blipFill>
                  <pic:spPr>
                    <a:xfrm>
                      <a:off x="0" y="0"/>
                      <a:ext cx="5760000" cy="3600000"/>
                    </a:xfrm>
                    <a:prstGeom prst="rect"/>
                  </pic:spPr>
                </pic:pic>
              </a:graphicData>
            </a:graphic>
          </wp:inline>
        </w:drawing>
      </w:r>
    </w:p>
    <w:p>
      <w:pPr>
        <w:pStyle w:val="FigureCaption"/>
        <w:widowControl/>
      </w:pPr>
      <w:r>
        <w:rPr>
          <w:rFonts w:ascii="Calibri" w:hAnsi="Calibri" w:eastAsia="Calibri" w:cs="Calibri"/>
          <w:i/>
          <w:color w:val="667085"/>
          <w:sz w:val="18"/>
        </w:rPr>
        <w:t>Figure 1 - Diagramme de cas d'utilisation du MVP</w:t>
      </w:r>
    </w:p>
    <w:p>
      <w:pPr>
        <w:widowControl/>
      </w:pPr>
      <w:r>
        <w:rPr>
          <w:rFonts w:ascii="Calibri" w:hAnsi="Calibri" w:eastAsia="Calibri" w:cs="Calibri"/>
          <w:color w:val="202124"/>
          <w:sz w:val="22"/>
        </w:rPr>
        <w:t>Le diagramme présente uniquement les actions visibles par les cinq acteurs. L'authentification est une précondition commune et l'historique est alimenté automatiquement par les transitions de statut.</w:t>
      </w:r>
    </w:p>
    <w:p>
      <w:pPr>
        <w:widowControl/>
      </w:pPr>
      <w:r>
        <w:br w:type="page"/>
      </w:r>
    </w:p>
    <w:p>
      <w:pPr>
        <w:pStyle w:val="Heading1"/>
        <w:widowControl/>
      </w:pPr>
      <w:r>
        <w:t>6. Exigences fonctionnelles</w:t>
      </w:r>
    </w:p>
    <w:tbl>
      <w:tblPr>
        <w:tblStyle w:val="TableGrid"/>
        <w:tblW w:type="dxa" w:w="9411"/>
        <w:jc w:val="left"/>
        <w:tblLayout w:type="fixed"/>
        <w:tblLook w:firstColumn="1" w:firstRow="1" w:lastColumn="0" w:lastRow="0" w:noHBand="0" w:noVBand="1" w:val="04A0"/>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Pr>
      <w:tblGrid>
        <w:gridCol w:w="1191"/>
        <w:gridCol w:w="7200"/>
        <w:gridCol w:w="1020"/>
      </w:tblGrid>
      <w:tr>
        <w:trPr>
          <w:tblHeader w:val="true"/>
        </w:trPr>
        <w:tc>
          <w:tcPr>
            <w:tcW w:type="dxa" w:w="1191"/>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ID</w:t>
            </w:r>
          </w:p>
        </w:tc>
        <w:tc>
          <w:tcPr>
            <w:tcW w:type="dxa" w:w="7200"/>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Exigence</w:t>
            </w:r>
          </w:p>
        </w:tc>
        <w:tc>
          <w:tcPr>
            <w:tcW w:type="dxa" w:w="1020"/>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Priorité</w:t>
            </w:r>
          </w:p>
        </w:tc>
      </w:tr>
      <w:tr>
        <w:tc>
          <w:tcPr>
            <w:tcW w:type="dxa" w:w="1191"/>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AUTH-01</w:t>
            </w:r>
          </w:p>
        </w:tc>
        <w:tc>
          <w:tcPr>
            <w:tcW w:type="dxa" w:w="7200"/>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Le système doit permettre à un utilisateur actif de se connecter et de se déconnecter.</w:t>
            </w:r>
          </w:p>
        </w:tc>
        <w:tc>
          <w:tcPr>
            <w:tcW w:type="dxa" w:w="1020"/>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AUTH-02</w:t>
            </w:r>
          </w:p>
        </w:tc>
        <w:tc>
          <w:tcPr>
            <w:tcW w:type="dxa" w:w="7200"/>
            <w:shd w:fill="F7F9FC" w:val="clear"/>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Le système doit contrôler côté serveur les pages et actions accessibles selon le rôle.</w:t>
            </w:r>
          </w:p>
        </w:tc>
        <w:tc>
          <w:tcPr>
            <w:tcW w:type="dxa" w:w="1020"/>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DM-01</w:t>
            </w:r>
          </w:p>
        </w:tc>
        <w:tc>
          <w:tcPr>
            <w:tcW w:type="dxa" w:w="7200"/>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Le District doit pouvoir créer et enregistrer une DM en brouillon.</w:t>
            </w:r>
          </w:p>
        </w:tc>
        <w:tc>
          <w:tcPr>
            <w:tcW w:type="dxa" w:w="1020"/>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DM-02</w:t>
            </w:r>
          </w:p>
        </w:tc>
        <w:tc>
          <w:tcPr>
            <w:tcW w:type="dxa" w:w="7200"/>
            <w:shd w:fill="F7F9FC" w:val="clear"/>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Le District doit pouvoir modifier une DM uniquement tant qu'elle est en brouillon.</w:t>
            </w:r>
          </w:p>
        </w:tc>
        <w:tc>
          <w:tcPr>
            <w:tcW w:type="dxa" w:w="1020"/>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DM-03</w:t>
            </w:r>
          </w:p>
        </w:tc>
        <w:tc>
          <w:tcPr>
            <w:tcW w:type="dxa" w:w="7200"/>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Une DM doit comporter un objet, un District demandeur et au moins une ligne valide.</w:t>
            </w:r>
          </w:p>
        </w:tc>
        <w:tc>
          <w:tcPr>
            <w:tcW w:type="dxa" w:w="1020"/>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DM-04</w:t>
            </w:r>
          </w:p>
        </w:tc>
        <w:tc>
          <w:tcPr>
            <w:tcW w:type="dxa" w:w="7200"/>
            <w:shd w:fill="F7F9FC" w:val="clear"/>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Chaque ligne doit référencer un article et une quantité strictement positive.</w:t>
            </w:r>
          </w:p>
        </w:tc>
        <w:tc>
          <w:tcPr>
            <w:tcW w:type="dxa" w:w="1020"/>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DM-05</w:t>
            </w:r>
          </w:p>
        </w:tc>
        <w:tc>
          <w:tcPr>
            <w:tcW w:type="dxa" w:w="7200"/>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Le District doit pouvoir soumettre une DM complète à la DRIC.</w:t>
            </w:r>
          </w:p>
        </w:tc>
        <w:tc>
          <w:tcPr>
            <w:tcW w:type="dxa" w:w="1020"/>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WF-01</w:t>
            </w:r>
          </w:p>
        </w:tc>
        <w:tc>
          <w:tcPr>
            <w:tcW w:type="dxa" w:w="7200"/>
            <w:shd w:fill="F7F9FC" w:val="clear"/>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La DRIC doit pouvoir valider la DM ou la rejeter avec un motif.</w:t>
            </w:r>
          </w:p>
        </w:tc>
        <w:tc>
          <w:tcPr>
            <w:tcW w:type="dxa" w:w="1020"/>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WF-02</w:t>
            </w:r>
          </w:p>
        </w:tc>
        <w:tc>
          <w:tcPr>
            <w:tcW w:type="dxa" w:w="7200"/>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La DMI doit pouvoir approuver la DM ou la rejeter avec un motif.</w:t>
            </w:r>
          </w:p>
        </w:tc>
        <w:tc>
          <w:tcPr>
            <w:tcW w:type="dxa" w:w="1020"/>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WF-03</w:t>
            </w:r>
          </w:p>
        </w:tc>
        <w:tc>
          <w:tcPr>
            <w:tcW w:type="dxa" w:w="7200"/>
            <w:shd w:fill="F7F9FC" w:val="clear"/>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Le MCIC doit pouvoir indiquer la mise à disposition et transmettre la DM au District.</w:t>
            </w:r>
          </w:p>
        </w:tc>
        <w:tc>
          <w:tcPr>
            <w:tcW w:type="dxa" w:w="1020"/>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WF-04</w:t>
            </w:r>
          </w:p>
        </w:tc>
        <w:tc>
          <w:tcPr>
            <w:tcW w:type="dxa" w:w="7200"/>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Le District doit pouvoir confirmer la réception d'une DM mise à disposition.</w:t>
            </w:r>
          </w:p>
        </w:tc>
        <w:tc>
          <w:tcPr>
            <w:tcW w:type="dxa" w:w="1020"/>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WF-05</w:t>
            </w:r>
          </w:p>
        </w:tc>
        <w:tc>
          <w:tcPr>
            <w:tcW w:type="dxa" w:w="7200"/>
            <w:shd w:fill="F7F9FC" w:val="clear"/>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Le système doit empêcher toute transition ne respectant pas l'ordre du workflow.</w:t>
            </w:r>
          </w:p>
        </w:tc>
        <w:tc>
          <w:tcPr>
            <w:tcW w:type="dxa" w:w="1020"/>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CONS-01</w:t>
            </w:r>
          </w:p>
        </w:tc>
        <w:tc>
          <w:tcPr>
            <w:tcW w:type="dxa" w:w="7200"/>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Un utilisateur doit pouvoir consulter les DM correspondant à son rôle et à leur statut.</w:t>
            </w:r>
          </w:p>
        </w:tc>
        <w:tc>
          <w:tcPr>
            <w:tcW w:type="dxa" w:w="1020"/>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HIST-01</w:t>
            </w:r>
          </w:p>
        </w:tc>
        <w:tc>
          <w:tcPr>
            <w:tcW w:type="dxa" w:w="7200"/>
            <w:shd w:fill="F7F9FC" w:val="clear"/>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Chaque changement de statut doit enregistrer l'acteur, la date, les statuts et le commentaire.</w:t>
            </w:r>
          </w:p>
        </w:tc>
        <w:tc>
          <w:tcPr>
            <w:tcW w:type="dxa" w:w="1020"/>
            <w:shd w:fill="F7F9FC" w:val="clear"/>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r>
        <w:tc>
          <w:tcPr>
            <w:tcW w:type="dxa" w:w="1191"/>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ADM-01</w:t>
            </w:r>
          </w:p>
        </w:tc>
        <w:tc>
          <w:tcPr>
            <w:tcW w:type="dxa" w:w="7200"/>
            <w:vAlign w:val="center"/>
            <w:tcMar>
              <w:top w:w="80" w:type="dxa"/>
              <w:start w:w="120" w:type="dxa"/>
              <w:bottom w:w="80" w:type="dxa"/>
              <w:end w:w="120" w:type="dxa"/>
            </w:tcMar>
          </w:tcPr>
          <w:p>
            <w:pPr>
              <w:spacing w:before="30" w:after="30" w:line="252" w:lineRule="auto"/>
              <w:jc w:val="left"/>
            </w:pPr>
            <w:r>
              <w:rPr>
                <w:rFonts w:ascii="Calibri" w:hAnsi="Calibri" w:eastAsia="Calibri" w:cs="Calibri"/>
                <w:color w:val="202124"/>
                <w:sz w:val="18"/>
              </w:rPr>
              <w:t>L'Administrateur doit pouvoir gérer les utilisateurs, rôles et articles via Django Admin.</w:t>
            </w:r>
          </w:p>
        </w:tc>
        <w:tc>
          <w:tcPr>
            <w:tcW w:type="dxa" w:w="1020"/>
            <w:vAlign w:val="center"/>
            <w:tcMar>
              <w:top w:w="80" w:type="dxa"/>
              <w:start w:w="120" w:type="dxa"/>
              <w:bottom w:w="80" w:type="dxa"/>
              <w:end w:w="120" w:type="dxa"/>
            </w:tcMar>
          </w:tcPr>
          <w:p>
            <w:pPr>
              <w:spacing w:before="30" w:after="30" w:line="252" w:lineRule="auto"/>
              <w:jc w:val="center"/>
            </w:pPr>
            <w:r>
              <w:rPr>
                <w:rFonts w:ascii="Calibri" w:hAnsi="Calibri" w:eastAsia="Calibri" w:cs="Calibri"/>
                <w:color w:val="202124"/>
                <w:sz w:val="18"/>
              </w:rPr>
              <w:t>P1</w:t>
            </w:r>
          </w:p>
        </w:tc>
      </w:tr>
    </w:tbl>
    <w:p>
      <w:pPr>
        <w:widowControl/>
        <w:spacing w:after="20"/>
      </w:pPr>
    </w:p>
    <w:p>
      <w:pPr>
        <w:widowControl/>
      </w:pPr>
      <w:r>
        <w:br w:type="page"/>
      </w:r>
    </w:p>
    <w:p>
      <w:pPr>
        <w:pStyle w:val="Heading1"/>
        <w:widowControl/>
      </w:pPr>
      <w:r>
        <w:t>7. Règles de gestion</w:t>
      </w:r>
    </w:p>
    <w:tbl>
      <w:tblPr>
        <w:tblStyle w:val="TableGrid"/>
        <w:tblW w:type="dxa" w:w="9411"/>
        <w:jc w:val="left"/>
        <w:tblLayout w:type="fixed"/>
        <w:tblLook w:firstColumn="1" w:firstRow="1" w:lastColumn="0" w:lastRow="0" w:noHBand="0" w:noVBand="1" w:val="04A0"/>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Pr>
      <w:tblGrid>
        <w:gridCol w:w="1247"/>
        <w:gridCol w:w="8164"/>
      </w:tblGrid>
      <w:tr>
        <w:trPr>
          <w:tblHeader w:val="true"/>
        </w:trPr>
        <w:tc>
          <w:tcPr>
            <w:tcW w:type="dxa" w:w="1247"/>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ID</w:t>
            </w:r>
          </w:p>
        </w:tc>
        <w:tc>
          <w:tcPr>
            <w:tcW w:type="dxa" w:w="8164"/>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Règle</w:t>
            </w:r>
          </w:p>
        </w:tc>
      </w:tr>
      <w:tr>
        <w:tc>
          <w:tcPr>
            <w:tcW w:type="dxa" w:w="1247"/>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RG-01</w:t>
            </w:r>
          </w:p>
        </w:tc>
        <w:tc>
          <w:tcPr>
            <w:tcW w:type="dxa" w:w="816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Une DM possède une référence unique générée par le système.</w:t>
            </w:r>
          </w:p>
        </w:tc>
      </w:tr>
      <w:tr>
        <w:tc>
          <w:tcPr>
            <w:tcW w:type="dxa" w:w="1247"/>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RG-02</w:t>
            </w:r>
          </w:p>
        </w:tc>
        <w:tc>
          <w:tcPr>
            <w:tcW w:type="dxa" w:w="816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Seul un utilisateur de rôle District peut créer une DM.</w:t>
            </w:r>
          </w:p>
        </w:tc>
      </w:tr>
      <w:tr>
        <w:tc>
          <w:tcPr>
            <w:tcW w:type="dxa" w:w="1247"/>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RG-03</w:t>
            </w:r>
          </w:p>
        </w:tc>
        <w:tc>
          <w:tcPr>
            <w:tcW w:type="dxa" w:w="816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Une DM ne peut être soumise sans objet, District demandeur et ligne valide.</w:t>
            </w:r>
          </w:p>
        </w:tc>
      </w:tr>
      <w:tr>
        <w:tc>
          <w:tcPr>
            <w:tcW w:type="dxa" w:w="1247"/>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RG-04</w:t>
            </w:r>
          </w:p>
        </w:tc>
        <w:tc>
          <w:tcPr>
            <w:tcW w:type="dxa" w:w="816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La quantité demandée doit être strictement positive.</w:t>
            </w:r>
          </w:p>
        </w:tc>
      </w:tr>
      <w:tr>
        <w:tc>
          <w:tcPr>
            <w:tcW w:type="dxa" w:w="1247"/>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RG-05</w:t>
            </w:r>
          </w:p>
        </w:tc>
        <w:tc>
          <w:tcPr>
            <w:tcW w:type="dxa" w:w="816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Une DM transmise ne peut plus être modifiée dans le MVP.</w:t>
            </w:r>
          </w:p>
        </w:tc>
      </w:tr>
      <w:tr>
        <w:tc>
          <w:tcPr>
            <w:tcW w:type="dxa" w:w="1247"/>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RG-06</w:t>
            </w:r>
          </w:p>
        </w:tc>
        <w:tc>
          <w:tcPr>
            <w:tcW w:type="dxa" w:w="816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Chaque acteur ne traite que les DM correspondant à son étape.</w:t>
            </w:r>
          </w:p>
        </w:tc>
      </w:tr>
      <w:tr>
        <w:tc>
          <w:tcPr>
            <w:tcW w:type="dxa" w:w="1247"/>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RG-07</w:t>
            </w:r>
          </w:p>
        </w:tc>
        <w:tc>
          <w:tcPr>
            <w:tcW w:type="dxa" w:w="816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La DRIC précède obligatoirement la DMI dans le workflow.</w:t>
            </w:r>
          </w:p>
        </w:tc>
      </w:tr>
      <w:tr>
        <w:tc>
          <w:tcPr>
            <w:tcW w:type="dxa" w:w="1247"/>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RG-08</w:t>
            </w:r>
          </w:p>
        </w:tc>
        <w:tc>
          <w:tcPr>
            <w:tcW w:type="dxa" w:w="816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La DMI est seule autorisée à effectuer l'approbation finale avant le MCIC.</w:t>
            </w:r>
          </w:p>
        </w:tc>
      </w:tr>
      <w:tr>
        <w:tc>
          <w:tcPr>
            <w:tcW w:type="dxa" w:w="1247"/>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RG-09</w:t>
            </w:r>
          </w:p>
        </w:tc>
        <w:tc>
          <w:tcPr>
            <w:tcW w:type="dxa" w:w="816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Le rejet exige un motif non vide et place la DM en lecture seule.</w:t>
            </w:r>
          </w:p>
        </w:tc>
      </w:tr>
      <w:tr>
        <w:tc>
          <w:tcPr>
            <w:tcW w:type="dxa" w:w="1247"/>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RG-10</w:t>
            </w:r>
          </w:p>
        </w:tc>
        <w:tc>
          <w:tcPr>
            <w:tcW w:type="dxa" w:w="816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Une DM rejetée ou clôturée ne peut pas être supprimée par un utilisateur métier.</w:t>
            </w:r>
          </w:p>
        </w:tc>
      </w:tr>
      <w:tr>
        <w:tc>
          <w:tcPr>
            <w:tcW w:type="dxa" w:w="1247"/>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RG-11</w:t>
            </w:r>
          </w:p>
        </w:tc>
        <w:tc>
          <w:tcPr>
            <w:tcW w:type="dxa" w:w="816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Chaque transition crée une entrée d'historique horodatée.</w:t>
            </w:r>
          </w:p>
        </w:tc>
      </w:tr>
      <w:tr>
        <w:tc>
          <w:tcPr>
            <w:tcW w:type="dxa" w:w="1247"/>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RG-12</w:t>
            </w:r>
          </w:p>
        </w:tc>
        <w:tc>
          <w:tcPr>
            <w:tcW w:type="dxa" w:w="816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La confirmation de réception par le District clôture définitivement la DM.</w:t>
            </w:r>
          </w:p>
        </w:tc>
      </w:tr>
    </w:tbl>
    <w:p>
      <w:pPr>
        <w:widowControl/>
        <w:spacing w:after="20"/>
      </w:pPr>
    </w:p>
    <w:p>
      <w:pPr>
        <w:widowControl/>
      </w:pPr>
      <w:r>
        <w:br w:type="page"/>
      </w:r>
    </w:p>
    <w:p>
      <w:pPr>
        <w:pStyle w:val="Heading1"/>
        <w:widowControl/>
      </w:pPr>
      <w:r>
        <w:t>8. Exigences non fonctionnelles</w:t>
      </w:r>
    </w:p>
    <w:tbl>
      <w:tblPr>
        <w:tblStyle w:val="TableGrid"/>
        <w:tblW w:type="dxa" w:w="9411"/>
        <w:jc w:val="left"/>
        <w:tblLayout w:type="fixed"/>
        <w:tblLook w:firstColumn="1" w:firstRow="1" w:lastColumn="0" w:lastRow="0" w:noHBand="0" w:noVBand="1" w:val="04A0"/>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Pr>
      <w:tblGrid>
        <w:gridCol w:w="1134"/>
        <w:gridCol w:w="1871"/>
        <w:gridCol w:w="6406"/>
      </w:tblGrid>
      <w:tr>
        <w:trPr>
          <w:tblHeader w:val="true"/>
        </w:trPr>
        <w:tc>
          <w:tcPr>
            <w:tcW w:type="dxa" w:w="1134"/>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ID</w:t>
            </w:r>
          </w:p>
        </w:tc>
        <w:tc>
          <w:tcPr>
            <w:tcW w:type="dxa" w:w="1871"/>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Domaine</w:t>
            </w:r>
          </w:p>
        </w:tc>
        <w:tc>
          <w:tcPr>
            <w:tcW w:type="dxa" w:w="6406"/>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Exigence minimale</w:t>
            </w:r>
          </w:p>
        </w:tc>
      </w:tr>
      <w:tr>
        <w:tc>
          <w:tcPr>
            <w:tcW w:type="dxa" w:w="113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ENF-01</w:t>
            </w:r>
          </w:p>
        </w:tc>
        <w:tc>
          <w:tcPr>
            <w:tcW w:type="dxa" w:w="1871"/>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Sécurité</w:t>
            </w:r>
          </w:p>
        </w:tc>
        <w:tc>
          <w:tcPr>
            <w:tcW w:type="dxa" w:w="6406"/>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Mots de passe hachés, protection CSRF, sessions Django et autorisations côté serveur.</w:t>
            </w:r>
          </w:p>
        </w:tc>
      </w:tr>
      <w:tr>
        <w:tc>
          <w:tcPr>
            <w:tcW w:type="dxa" w:w="113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ENF-02</w:t>
            </w:r>
          </w:p>
        </w:tc>
        <w:tc>
          <w:tcPr>
            <w:tcW w:type="dxa" w:w="1871"/>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Ergonomie</w:t>
            </w:r>
          </w:p>
        </w:tc>
        <w:tc>
          <w:tcPr>
            <w:tcW w:type="dxa" w:w="6406"/>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Libellés simples, erreurs près des champs et actions adaptées au rôle.</w:t>
            </w:r>
          </w:p>
        </w:tc>
      </w:tr>
      <w:tr>
        <w:tc>
          <w:tcPr>
            <w:tcW w:type="dxa" w:w="113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ENF-03</w:t>
            </w:r>
          </w:p>
        </w:tc>
        <w:tc>
          <w:tcPr>
            <w:tcW w:type="dxa" w:w="1871"/>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Performance</w:t>
            </w:r>
          </w:p>
        </w:tc>
        <w:tc>
          <w:tcPr>
            <w:tcW w:type="dxa" w:w="6406"/>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Les pages courantes doivent se charger en moins de 3 secondes dans l'environnement nominal de démonstration.</w:t>
            </w:r>
          </w:p>
        </w:tc>
      </w:tr>
      <w:tr>
        <w:tc>
          <w:tcPr>
            <w:tcW w:type="dxa" w:w="113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ENF-04</w:t>
            </w:r>
          </w:p>
        </w:tc>
        <w:tc>
          <w:tcPr>
            <w:tcW w:type="dxa" w:w="1871"/>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Intégrité</w:t>
            </w:r>
          </w:p>
        </w:tc>
        <w:tc>
          <w:tcPr>
            <w:tcW w:type="dxa" w:w="6406"/>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Les transitions critiques doivent être atomiques et les champs obligatoires validés côté serveur.</w:t>
            </w:r>
          </w:p>
        </w:tc>
      </w:tr>
      <w:tr>
        <w:tc>
          <w:tcPr>
            <w:tcW w:type="dxa" w:w="113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ENF-05</w:t>
            </w:r>
          </w:p>
        </w:tc>
        <w:tc>
          <w:tcPr>
            <w:tcW w:type="dxa" w:w="1871"/>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Compatibilité</w:t>
            </w:r>
          </w:p>
        </w:tc>
        <w:tc>
          <w:tcPr>
            <w:tcW w:type="dxa" w:w="6406"/>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L'application doit fonctionner sur une version récente de Microsoft Edge ou Google Chrome.</w:t>
            </w:r>
          </w:p>
        </w:tc>
      </w:tr>
      <w:tr>
        <w:tc>
          <w:tcPr>
            <w:tcW w:type="dxa" w:w="113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ENF-06</w:t>
            </w:r>
          </w:p>
        </w:tc>
        <w:tc>
          <w:tcPr>
            <w:tcW w:type="dxa" w:w="1871"/>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Maintenabilité</w:t>
            </w:r>
          </w:p>
        </w:tc>
        <w:tc>
          <w:tcPr>
            <w:tcW w:type="dxa" w:w="6406"/>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Le code doit suivre la structure Django, être versionné avec Git et accompagné d'un README.</w:t>
            </w:r>
          </w:p>
        </w:tc>
      </w:tr>
      <w:tr>
        <w:tc>
          <w:tcPr>
            <w:tcW w:type="dxa" w:w="113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ENF-07</w:t>
            </w:r>
          </w:p>
        </w:tc>
        <w:tc>
          <w:tcPr>
            <w:tcW w:type="dxa" w:w="1871"/>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Sauvegarde</w:t>
            </w:r>
          </w:p>
        </w:tc>
        <w:tc>
          <w:tcPr>
            <w:tcW w:type="dxa" w:w="6406"/>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Le fichier SQLite doit pouvoir être copié et restauré avant chaque démonstration importante.</w:t>
            </w:r>
          </w:p>
        </w:tc>
      </w:tr>
      <w:tr>
        <w:tc>
          <w:tcPr>
            <w:tcW w:type="dxa" w:w="113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ENF-08</w:t>
            </w:r>
          </w:p>
        </w:tc>
        <w:tc>
          <w:tcPr>
            <w:tcW w:type="dxa" w:w="1871"/>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Confidentialité</w:t>
            </w:r>
          </w:p>
        </w:tc>
        <w:tc>
          <w:tcPr>
            <w:tcW w:type="dxa" w:w="6406"/>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Les jeux de démonstration doivent être fictifs ou anonymisés.</w:t>
            </w:r>
          </w:p>
        </w:tc>
      </w:tr>
    </w:tbl>
    <w:p>
      <w:pPr>
        <w:widowControl/>
        <w:spacing w:after="20"/>
      </w:pPr>
    </w:p>
    <w:p>
      <w:pPr>
        <w:widowControl/>
      </w:pPr>
      <w:r>
        <w:br w:type="page"/>
      </w:r>
    </w:p>
    <w:p>
      <w:pPr>
        <w:pStyle w:val="Heading2"/>
        <w:widowControl/>
      </w:pPr>
      <w:r>
        <w:t>8.1 Hypothèse de déploiement</w:t>
      </w:r>
    </w:p>
    <w:p>
      <w:pPr>
        <w:widowControl/>
      </w:pPr>
      <w:r>
        <w:rPr>
          <w:rFonts w:ascii="Calibri" w:hAnsi="Calibri" w:eastAsia="Calibri" w:cs="Calibri"/>
          <w:color w:val="202124"/>
          <w:sz w:val="22"/>
        </w:rPr>
        <w:t>Le MVP est destiné à un environnement local ou de démonstration. Un déploiement réseau réel nécessiterait une validation de la DSI et le remplacement éventuel de SQLite par PostgreSQL.</w:t>
      </w:r>
    </w:p>
    <w:p>
      <w:pPr>
        <w:pStyle w:val="Heading1"/>
        <w:widowControl/>
      </w:pPr>
      <w:r>
        <w:t>9. Architecture et stack technique</w:t>
      </w:r>
    </w:p>
    <w:tbl>
      <w:tblPr>
        <w:tblStyle w:val="TableGrid"/>
        <w:tblW w:type="dxa" w:w="9411"/>
        <w:jc w:val="left"/>
        <w:tblLayout w:type="fixed"/>
        <w:tblLook w:firstColumn="1" w:firstRow="1" w:lastColumn="0" w:lastRow="0" w:noHBand="0" w:noVBand="1" w:val="04A0"/>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Pr>
      <w:tblGrid>
        <w:gridCol w:w="1701"/>
        <w:gridCol w:w="2324"/>
        <w:gridCol w:w="5386"/>
      </w:tblGrid>
      <w:tr>
        <w:trPr>
          <w:tblHeader w:val="true"/>
        </w:trPr>
        <w:tc>
          <w:tcPr>
            <w:tcW w:type="dxa" w:w="1701"/>
            <w:shd w:fill="E8EEF5"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Couche</w:t>
            </w:r>
          </w:p>
        </w:tc>
        <w:tc>
          <w:tcPr>
            <w:tcW w:type="dxa" w:w="2324"/>
            <w:shd w:fill="E8EEF5"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Technologie</w:t>
            </w:r>
          </w:p>
        </w:tc>
        <w:tc>
          <w:tcPr>
            <w:tcW w:type="dxa" w:w="5386"/>
            <w:shd w:fill="E8EEF5"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Justification</w:t>
            </w:r>
          </w:p>
        </w:tc>
      </w:tr>
      <w:tr>
        <w:tc>
          <w:tcPr>
            <w:tcW w:type="dxa" w:w="1701"/>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Langage</w:t>
            </w:r>
          </w:p>
        </w:tc>
        <w:tc>
          <w:tcPr>
            <w:tcW w:type="dxa" w:w="232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Python 3</w:t>
            </w:r>
          </w:p>
        </w:tc>
        <w:tc>
          <w:tcPr>
            <w:tcW w:type="dxa" w:w="5386"/>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Lisible, largement utilisé et adapté à un projet académique.</w:t>
            </w:r>
          </w:p>
        </w:tc>
      </w:tr>
      <w:tr>
        <w:tc>
          <w:tcPr>
            <w:tcW w:type="dxa" w:w="1701"/>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Framework</w:t>
            </w:r>
          </w:p>
        </w:tc>
        <w:tc>
          <w:tcPr>
            <w:tcW w:type="dxa" w:w="232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Django LTS</w:t>
            </w:r>
          </w:p>
        </w:tc>
        <w:tc>
          <w:tcPr>
            <w:tcW w:type="dxa" w:w="5386"/>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Authentification, permissions, formulaires, ORM et administration intégrés.</w:t>
            </w:r>
          </w:p>
        </w:tc>
      </w:tr>
      <w:tr>
        <w:tc>
          <w:tcPr>
            <w:tcW w:type="dxa" w:w="1701"/>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Front-end</w:t>
            </w:r>
          </w:p>
        </w:tc>
        <w:tc>
          <w:tcPr>
            <w:tcW w:type="dxa" w:w="232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Django Templates + Bootstrap 5</w:t>
            </w:r>
          </w:p>
        </w:tc>
        <w:tc>
          <w:tcPr>
            <w:tcW w:type="dxa" w:w="5386"/>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Pages serveur simples sans application JavaScript séparée.</w:t>
            </w:r>
          </w:p>
        </w:tc>
      </w:tr>
      <w:tr>
        <w:tc>
          <w:tcPr>
            <w:tcW w:type="dxa" w:w="1701"/>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Données</w:t>
            </w:r>
          </w:p>
        </w:tc>
        <w:tc>
          <w:tcPr>
            <w:tcW w:type="dxa" w:w="232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SQLite + ORM Django</w:t>
            </w:r>
          </w:p>
        </w:tc>
        <w:tc>
          <w:tcPr>
            <w:tcW w:type="dxa" w:w="5386"/>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Installation minimale et base suffisante pour une démonstration.</w:t>
            </w:r>
          </w:p>
        </w:tc>
      </w:tr>
      <w:tr>
        <w:tc>
          <w:tcPr>
            <w:tcW w:type="dxa" w:w="1701"/>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Administration</w:t>
            </w:r>
          </w:p>
        </w:tc>
        <w:tc>
          <w:tcPr>
            <w:tcW w:type="dxa" w:w="232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Django Admin</w:t>
            </w:r>
          </w:p>
        </w:tc>
        <w:tc>
          <w:tcPr>
            <w:tcW w:type="dxa" w:w="5386"/>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Gestion des comptes, rôles et articles sans écran spécifique à développer.</w:t>
            </w:r>
          </w:p>
        </w:tc>
      </w:tr>
      <w:tr>
        <w:tc>
          <w:tcPr>
            <w:tcW w:type="dxa" w:w="1701"/>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Versionnement</w:t>
            </w:r>
          </w:p>
        </w:tc>
        <w:tc>
          <w:tcPr>
            <w:tcW w:type="dxa" w:w="232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Git</w:t>
            </w:r>
          </w:p>
        </w:tc>
        <w:tc>
          <w:tcPr>
            <w:tcW w:type="dxa" w:w="5386"/>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Traçabilité du code et retour à une version stable.</w:t>
            </w:r>
          </w:p>
        </w:tc>
      </w:tr>
    </w:tbl>
    <w:p>
      <w:pPr>
        <w:widowControl/>
        <w:spacing w:after="20"/>
      </w:pPr>
    </w:p>
    <w:p>
      <w:pPr>
        <w:pStyle w:val="Heading2"/>
        <w:widowControl/>
      </w:pPr>
      <w:r>
        <w:t>9.1 Architecture monolithique</w:t>
      </w:r>
    </w:p>
    <w:p>
      <w:pPr>
        <w:spacing w:before="100" w:after="160" w:line="264" w:lineRule="auto"/>
        <w:ind w:left="125" w:right="125"/>
        <w:shd w:val="clear" w:fill="E8EEF5"/>
        <w:widowControl/>
        <w:pBdr>
          <w:top w:val="single" w:sz="4" w:space="5" w:color="E8EEF5"/>
          <w:left w:val="single" w:sz="4" w:space="5" w:color="E8EEF5"/>
          <w:bottom w:val="single" w:sz="4" w:space="5" w:color="E8EEF5"/>
          <w:right w:val="single" w:sz="4" w:space="5" w:color="E8EEF5"/>
        </w:pBdr>
      </w:pPr>
      <w:r>
        <w:rPr>
          <w:rFonts w:ascii="Calibri" w:hAnsi="Calibri" w:eastAsia="Calibri" w:cs="Calibri"/>
          <w:b/>
          <w:color w:val="0B2545"/>
          <w:sz w:val="22"/>
        </w:rPr>
        <w:t>Navigateur web  →  Vues et formulaires Django  →  Services métier simples  →  ORM Django  →  Base SQLite</w:t>
      </w:r>
    </w:p>
    <w:p>
      <w:pPr>
        <w:pStyle w:val="ListBullet"/>
        <w:widowControl/>
      </w:pPr>
      <w:r>
        <w:rPr>
          <w:rFonts w:ascii="Calibri" w:hAnsi="Calibri" w:eastAsia="Calibri" w:cs="Calibri"/>
          <w:color w:val="202124"/>
          <w:sz w:val="22"/>
        </w:rPr>
        <w:t>Le navigateur n'accède jamais directement à la base de données.</w:t>
      </w:r>
    </w:p>
    <w:p>
      <w:pPr>
        <w:pStyle w:val="ListBullet"/>
        <w:widowControl/>
      </w:pPr>
      <w:r>
        <w:rPr>
          <w:rFonts w:ascii="Calibri" w:hAnsi="Calibri" w:eastAsia="Calibri" w:cs="Calibri"/>
          <w:color w:val="202124"/>
          <w:sz w:val="22"/>
        </w:rPr>
        <w:t>Django vérifie la session, le rôle et la transition demandée.</w:t>
      </w:r>
    </w:p>
    <w:p>
      <w:pPr>
        <w:pStyle w:val="ListBullet"/>
        <w:widowControl/>
      </w:pPr>
      <w:r>
        <w:rPr>
          <w:rFonts w:ascii="Calibri" w:hAnsi="Calibri" w:eastAsia="Calibri" w:cs="Calibri"/>
          <w:color w:val="202124"/>
          <w:sz w:val="22"/>
        </w:rPr>
        <w:t>Les pages HTML sont rendues côté serveur.</w:t>
      </w:r>
    </w:p>
    <w:p>
      <w:pPr>
        <w:pStyle w:val="ListBullet"/>
        <w:widowControl/>
      </w:pPr>
      <w:r>
        <w:rPr>
          <w:rFonts w:ascii="Calibri" w:hAnsi="Calibri" w:eastAsia="Calibri" w:cs="Calibri"/>
          <w:color w:val="202124"/>
          <w:sz w:val="22"/>
        </w:rPr>
        <w:t>Aucune API REST, file de messages ou infrastructure Docker n'est nécessaire au MVP.</w:t>
      </w:r>
    </w:p>
    <w:p>
      <w:pPr>
        <w:widowControl/>
      </w:pPr>
      <w:r>
        <w:br w:type="page"/>
      </w:r>
    </w:p>
    <w:p>
      <w:pPr>
        <w:pStyle w:val="Heading1"/>
        <w:widowControl/>
      </w:pPr>
      <w:r>
        <w:t>10. Modèle de données et diagramme de classes</w:t>
      </w:r>
    </w:p>
    <w:p>
      <w:pPr>
        <w:keepNext/>
        <w:widowControl/>
        <w:spacing w:before="40" w:after="40"/>
        <w:jc w:val="center"/>
      </w:pPr>
      <w:r>
        <w:drawing>
          <wp:inline xmlns:a="http://schemas.openxmlformats.org/drawingml/2006/main" xmlns:pic="http://schemas.openxmlformats.org/drawingml/2006/picture">
            <wp:extent cx="5796000" cy="4057200"/>
            <wp:docPr id="2" name="Picture 2" descr="diagramme classes" title="diagramme classes"/>
            <wp:cNvGraphicFramePr>
              <a:graphicFrameLocks noChangeAspect="1"/>
            </wp:cNvGraphicFramePr>
            <a:graphic>
              <a:graphicData uri="http://schemas.openxmlformats.org/drawingml/2006/picture">
                <pic:pic>
                  <pic:nvPicPr>
                    <pic:cNvPr id="0" name="diagramme_classes.png"/>
                    <pic:cNvPicPr/>
                  </pic:nvPicPr>
                  <pic:blipFill>
                    <a:blip r:embed="rId18"/>
                    <a:stretch>
                      <a:fillRect/>
                    </a:stretch>
                  </pic:blipFill>
                  <pic:spPr>
                    <a:xfrm>
                      <a:off x="0" y="0"/>
                      <a:ext cx="5796000" cy="4057200"/>
                    </a:xfrm>
                    <a:prstGeom prst="rect"/>
                  </pic:spPr>
                </pic:pic>
              </a:graphicData>
            </a:graphic>
          </wp:inline>
        </w:drawing>
      </w:r>
    </w:p>
    <w:p>
      <w:pPr>
        <w:pStyle w:val="FigureCaption"/>
        <w:widowControl/>
      </w:pPr>
      <w:r>
        <w:rPr>
          <w:rFonts w:ascii="Calibri" w:hAnsi="Calibri" w:eastAsia="Calibri" w:cs="Calibri"/>
          <w:i/>
          <w:color w:val="667085"/>
          <w:sz w:val="18"/>
        </w:rPr>
        <w:t>Figure 2 - Diagramme de classes simplifié</w:t>
      </w:r>
    </w:p>
    <w:p>
      <w:pPr>
        <w:widowControl/>
      </w:pPr>
      <w:r>
        <w:rPr>
          <w:rFonts w:ascii="Calibri" w:hAnsi="Calibri" w:eastAsia="Calibri" w:cs="Calibri"/>
          <w:color w:val="202124"/>
          <w:sz w:val="22"/>
        </w:rPr>
        <w:t>Le modèle sépare la demande, ses lignes, le catalogue d'articles et l'historique. Les énumérations limitent les rôles et statuts à des valeurs connues par le système.</w:t>
      </w:r>
    </w:p>
    <w:p>
      <w:pPr>
        <w:widowControl/>
      </w:pPr>
      <w:r>
        <w:br w:type="page"/>
      </w:r>
    </w:p>
    <w:p>
      <w:pPr>
        <w:pStyle w:val="Heading1"/>
        <w:widowControl/>
      </w:pPr>
      <w:r>
        <w:t>11. Interfaces front-end minimales</w:t>
      </w:r>
    </w:p>
    <w:p>
      <w:pPr>
        <w:pStyle w:val="Heading2"/>
        <w:widowControl/>
      </w:pPr>
      <w:r>
        <w:t>11.1 Page de connexion</w:t>
      </w:r>
    </w:p>
    <w:p>
      <w:pPr>
        <w:keepNext/>
        <w:widowControl/>
        <w:spacing w:before="40" w:after="40"/>
        <w:jc w:val="center"/>
      </w:pPr>
      <w:r>
        <w:drawing>
          <wp:inline xmlns:a="http://schemas.openxmlformats.org/drawingml/2006/main" xmlns:pic="http://schemas.openxmlformats.org/drawingml/2006/picture">
            <wp:extent cx="5688000" cy="2844000"/>
            <wp:docPr id="3" name="Picture 3" descr="wireframe connexion" title="wireframe connexion"/>
            <wp:cNvGraphicFramePr>
              <a:graphicFrameLocks noChangeAspect="1"/>
            </wp:cNvGraphicFramePr>
            <a:graphic>
              <a:graphicData uri="http://schemas.openxmlformats.org/drawingml/2006/picture">
                <pic:pic>
                  <pic:nvPicPr>
                    <pic:cNvPr id="0" name="wireframe_connexion.png"/>
                    <pic:cNvPicPr/>
                  </pic:nvPicPr>
                  <pic:blipFill>
                    <a:blip r:embed="rId19"/>
                    <a:stretch>
                      <a:fillRect/>
                    </a:stretch>
                  </pic:blipFill>
                  <pic:spPr>
                    <a:xfrm>
                      <a:off x="0" y="0"/>
                      <a:ext cx="5688000" cy="2844000"/>
                    </a:xfrm>
                    <a:prstGeom prst="rect"/>
                  </pic:spPr>
                </pic:pic>
              </a:graphicData>
            </a:graphic>
          </wp:inline>
        </w:drawing>
      </w:r>
    </w:p>
    <w:p>
      <w:pPr>
        <w:pStyle w:val="FigureCaption"/>
        <w:widowControl/>
      </w:pPr>
      <w:r>
        <w:rPr>
          <w:rFonts w:ascii="Calibri" w:hAnsi="Calibri" w:eastAsia="Calibri" w:cs="Calibri"/>
          <w:i/>
          <w:color w:val="667085"/>
          <w:sz w:val="18"/>
        </w:rPr>
        <w:t>Figure 3 - Wireframe de la page de connexion</w:t>
      </w:r>
    </w:p>
    <w:p>
      <w:pPr>
        <w:widowControl/>
      </w:pPr>
      <w:r>
        <w:rPr>
          <w:rFonts w:ascii="Calibri" w:hAnsi="Calibri" w:eastAsia="Calibri" w:cs="Calibri"/>
          <w:color w:val="202124"/>
          <w:sz w:val="22"/>
        </w:rPr>
        <w:t>Champs : identifiant et mot de passe. Action principale : se connecter. Les erreurs restent génériques afin de ne pas révéler l'existence d'un compte.</w:t>
      </w:r>
    </w:p>
    <w:p>
      <w:pPr>
        <w:pStyle w:val="Heading2"/>
        <w:widowControl/>
      </w:pPr>
      <w:r>
        <w:t>11.2 Liste des Demandes de Matières</w:t>
      </w:r>
    </w:p>
    <w:p>
      <w:pPr>
        <w:keepNext/>
        <w:widowControl/>
        <w:spacing w:before="40" w:after="40"/>
        <w:jc w:val="center"/>
      </w:pPr>
      <w:r>
        <w:drawing>
          <wp:inline xmlns:a="http://schemas.openxmlformats.org/drawingml/2006/main" xmlns:pic="http://schemas.openxmlformats.org/drawingml/2006/picture">
            <wp:extent cx="5688000" cy="2844000"/>
            <wp:docPr id="4" name="Picture 4" descr="wireframe liste" title="wireframe liste"/>
            <wp:cNvGraphicFramePr>
              <a:graphicFrameLocks noChangeAspect="1"/>
            </wp:cNvGraphicFramePr>
            <a:graphic>
              <a:graphicData uri="http://schemas.openxmlformats.org/drawingml/2006/picture">
                <pic:pic>
                  <pic:nvPicPr>
                    <pic:cNvPr id="0" name="wireframe_liste.png"/>
                    <pic:cNvPicPr/>
                  </pic:nvPicPr>
                  <pic:blipFill>
                    <a:blip r:embed="rId20"/>
                    <a:stretch>
                      <a:fillRect/>
                    </a:stretch>
                  </pic:blipFill>
                  <pic:spPr>
                    <a:xfrm>
                      <a:off x="0" y="0"/>
                      <a:ext cx="5688000" cy="2844000"/>
                    </a:xfrm>
                    <a:prstGeom prst="rect"/>
                  </pic:spPr>
                </pic:pic>
              </a:graphicData>
            </a:graphic>
          </wp:inline>
        </w:drawing>
      </w:r>
    </w:p>
    <w:p>
      <w:pPr>
        <w:pStyle w:val="FigureCaption"/>
        <w:widowControl/>
      </w:pPr>
      <w:r>
        <w:rPr>
          <w:rFonts w:ascii="Calibri" w:hAnsi="Calibri" w:eastAsia="Calibri" w:cs="Calibri"/>
          <w:i/>
          <w:color w:val="667085"/>
          <w:sz w:val="18"/>
        </w:rPr>
        <w:t>Figure 4 - Wireframe de la liste des DM</w:t>
      </w:r>
    </w:p>
    <w:p>
      <w:pPr>
        <w:widowControl/>
      </w:pPr>
      <w:r>
        <w:rPr>
          <w:rFonts w:ascii="Calibri" w:hAnsi="Calibri" w:eastAsia="Calibri" w:cs="Calibri"/>
          <w:color w:val="202124"/>
          <w:sz w:val="22"/>
        </w:rPr>
        <w:t>La page sert d'accueil. Elle affiche les DM autorisées, une recherche simple, un filtre de statut et le bouton de création réservé au District.</w:t>
      </w:r>
    </w:p>
    <w:p>
      <w:pPr>
        <w:widowControl/>
      </w:pPr>
      <w:r>
        <w:br w:type="page"/>
      </w:r>
    </w:p>
    <w:p>
      <w:pPr>
        <w:pStyle w:val="Heading1"/>
        <w:widowControl/>
      </w:pPr>
      <w:r>
        <w:t>11.3 Création ou modification d'une DM</w:t>
      </w:r>
    </w:p>
    <w:p>
      <w:pPr>
        <w:keepNext/>
        <w:widowControl/>
        <w:spacing w:before="40" w:after="40"/>
        <w:jc w:val="center"/>
      </w:pPr>
      <w:r>
        <w:drawing>
          <wp:inline xmlns:a="http://schemas.openxmlformats.org/drawingml/2006/main" xmlns:pic="http://schemas.openxmlformats.org/drawingml/2006/picture">
            <wp:extent cx="5688000" cy="2844000"/>
            <wp:docPr id="5" name="Picture 5" descr="wireframe creation" title="wireframe creation"/>
            <wp:cNvGraphicFramePr>
              <a:graphicFrameLocks noChangeAspect="1"/>
            </wp:cNvGraphicFramePr>
            <a:graphic>
              <a:graphicData uri="http://schemas.openxmlformats.org/drawingml/2006/picture">
                <pic:pic>
                  <pic:nvPicPr>
                    <pic:cNvPr id="0" name="wireframe_creation.png"/>
                    <pic:cNvPicPr/>
                  </pic:nvPicPr>
                  <pic:blipFill>
                    <a:blip r:embed="rId21"/>
                    <a:stretch>
                      <a:fillRect/>
                    </a:stretch>
                  </pic:blipFill>
                  <pic:spPr>
                    <a:xfrm>
                      <a:off x="0" y="0"/>
                      <a:ext cx="5688000" cy="2844000"/>
                    </a:xfrm>
                    <a:prstGeom prst="rect"/>
                  </pic:spPr>
                </pic:pic>
              </a:graphicData>
            </a:graphic>
          </wp:inline>
        </w:drawing>
      </w:r>
    </w:p>
    <w:p>
      <w:pPr>
        <w:pStyle w:val="FigureCaption"/>
        <w:widowControl/>
      </w:pPr>
      <w:r>
        <w:rPr>
          <w:rFonts w:ascii="Calibri" w:hAnsi="Calibri" w:eastAsia="Calibri" w:cs="Calibri"/>
          <w:i/>
          <w:color w:val="667085"/>
          <w:sz w:val="18"/>
        </w:rPr>
        <w:t>Figure 5 - Wireframe du formulaire de DM</w:t>
      </w:r>
    </w:p>
    <w:p>
      <w:pPr>
        <w:widowControl/>
      </w:pPr>
      <w:r>
        <w:rPr>
          <w:rFonts w:ascii="Calibri" w:hAnsi="Calibri" w:eastAsia="Calibri" w:cs="Calibri"/>
          <w:color w:val="202124"/>
          <w:sz w:val="22"/>
        </w:rPr>
        <w:t>Le formulaire regroupe l'objet, le District, la date souhaitée et les lignes d'articles. Les boutons permettent d'enregistrer le brouillon ou de soumettre la demande.</w:t>
      </w:r>
    </w:p>
    <w:p>
      <w:pPr>
        <w:pStyle w:val="Heading2"/>
        <w:widowControl/>
      </w:pPr>
      <w:r>
        <w:t>11.4 Détail et traitement d'une DM</w:t>
      </w:r>
    </w:p>
    <w:p>
      <w:pPr>
        <w:keepNext/>
        <w:widowControl/>
        <w:spacing w:before="40" w:after="40"/>
        <w:jc w:val="center"/>
      </w:pPr>
      <w:r>
        <w:drawing>
          <wp:inline xmlns:a="http://schemas.openxmlformats.org/drawingml/2006/main" xmlns:pic="http://schemas.openxmlformats.org/drawingml/2006/picture">
            <wp:extent cx="5688000" cy="2844000"/>
            <wp:docPr id="6" name="Picture 6" descr="wireframe detail" title="wireframe detail"/>
            <wp:cNvGraphicFramePr>
              <a:graphicFrameLocks noChangeAspect="1"/>
            </wp:cNvGraphicFramePr>
            <a:graphic>
              <a:graphicData uri="http://schemas.openxmlformats.org/drawingml/2006/picture">
                <pic:pic>
                  <pic:nvPicPr>
                    <pic:cNvPr id="0" name="wireframe_detail.png"/>
                    <pic:cNvPicPr/>
                  </pic:nvPicPr>
                  <pic:blipFill>
                    <a:blip r:embed="rId22"/>
                    <a:stretch>
                      <a:fillRect/>
                    </a:stretch>
                  </pic:blipFill>
                  <pic:spPr>
                    <a:xfrm>
                      <a:off x="0" y="0"/>
                      <a:ext cx="5688000" cy="2844000"/>
                    </a:xfrm>
                    <a:prstGeom prst="rect"/>
                  </pic:spPr>
                </pic:pic>
              </a:graphicData>
            </a:graphic>
          </wp:inline>
        </w:drawing>
      </w:r>
    </w:p>
    <w:p>
      <w:pPr>
        <w:pStyle w:val="FigureCaption"/>
        <w:widowControl/>
      </w:pPr>
      <w:r>
        <w:rPr>
          <w:rFonts w:ascii="Calibri" w:hAnsi="Calibri" w:eastAsia="Calibri" w:cs="Calibri"/>
          <w:i/>
          <w:color w:val="667085"/>
          <w:sz w:val="18"/>
        </w:rPr>
        <w:t>Figure 6 - Wireframe du détail d'une DM</w:t>
      </w:r>
    </w:p>
    <w:p>
      <w:pPr>
        <w:widowControl/>
      </w:pPr>
      <w:r>
        <w:rPr>
          <w:rFonts w:ascii="Calibri" w:hAnsi="Calibri" w:eastAsia="Calibri" w:cs="Calibri"/>
          <w:color w:val="202124"/>
          <w:sz w:val="22"/>
        </w:rPr>
        <w:t>La page affiche le statut, les articles, l'historique et uniquement les actions autorisées pour l'acteur courant.</w:t>
      </w:r>
    </w:p>
    <w:p>
      <w:pPr>
        <w:widowControl/>
      </w:pPr>
      <w:r>
        <w:br w:type="page"/>
      </w:r>
    </w:p>
    <w:p>
      <w:pPr>
        <w:pStyle w:val="Heading1"/>
        <w:widowControl/>
      </w:pPr>
      <w:r>
        <w:t>12. Tests et critères d'acceptation</w:t>
      </w:r>
    </w:p>
    <w:tbl>
      <w:tblPr>
        <w:tblStyle w:val="TableGrid"/>
        <w:tblW w:type="dxa" w:w="9411"/>
        <w:jc w:val="left"/>
        <w:tblLayout w:type="fixed"/>
        <w:tblLook w:firstColumn="1" w:firstRow="1" w:lastColumn="0" w:lastRow="0" w:noHBand="0" w:noVBand="1" w:val="04A0"/>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Pr>
      <w:tblGrid>
        <w:gridCol w:w="964"/>
        <w:gridCol w:w="4025"/>
        <w:gridCol w:w="4422"/>
      </w:tblGrid>
      <w:tr>
        <w:trPr>
          <w:tblHeader w:val="true"/>
        </w:trPr>
        <w:tc>
          <w:tcPr>
            <w:tcW w:type="dxa" w:w="964"/>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7"/>
              </w:rPr>
              <w:t>ID</w:t>
            </w:r>
          </w:p>
        </w:tc>
        <w:tc>
          <w:tcPr>
            <w:tcW w:type="dxa" w:w="4025"/>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7"/>
              </w:rPr>
              <w:t>Scénario</w:t>
            </w:r>
          </w:p>
        </w:tc>
        <w:tc>
          <w:tcPr>
            <w:tcW w:type="dxa" w:w="4422"/>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7"/>
              </w:rPr>
              <w:t>Résultat attendu</w:t>
            </w:r>
          </w:p>
        </w:tc>
      </w:tr>
      <w:tr>
        <w:tc>
          <w:tcPr>
            <w:tcW w:type="dxa" w:w="96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T-01</w:t>
            </w:r>
          </w:p>
        </w:tc>
        <w:tc>
          <w:tcPr>
            <w:tcW w:type="dxa" w:w="4025"/>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Connexion avec un compte actif puis déconnexion.</w:t>
            </w:r>
          </w:p>
        </w:tc>
        <w:tc>
          <w:tcPr>
            <w:tcW w:type="dxa" w:w="4422"/>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Session créée puis supprimée correctement.</w:t>
            </w:r>
          </w:p>
        </w:tc>
      </w:tr>
      <w:tr>
        <w:tc>
          <w:tcPr>
            <w:tcW w:type="dxa" w:w="96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T-02</w:t>
            </w:r>
          </w:p>
        </w:tc>
        <w:tc>
          <w:tcPr>
            <w:tcW w:type="dxa" w:w="4025"/>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Soumission d'une DM sans objet ou sans ligne.</w:t>
            </w:r>
          </w:p>
        </w:tc>
        <w:tc>
          <w:tcPr>
            <w:tcW w:type="dxa" w:w="4422"/>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Soumission refusée et champs signalés.</w:t>
            </w:r>
          </w:p>
        </w:tc>
      </w:tr>
      <w:tr>
        <w:tc>
          <w:tcPr>
            <w:tcW w:type="dxa" w:w="96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T-03</w:t>
            </w:r>
          </w:p>
        </w:tc>
        <w:tc>
          <w:tcPr>
            <w:tcW w:type="dxa" w:w="4025"/>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Parcours District → DRIC → DMI → MCIC → District.</w:t>
            </w:r>
          </w:p>
        </w:tc>
        <w:tc>
          <w:tcPr>
            <w:tcW w:type="dxa" w:w="4422"/>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Transitions et responsables conformes au workflow.</w:t>
            </w:r>
          </w:p>
        </w:tc>
      </w:tr>
      <w:tr>
        <w:tc>
          <w:tcPr>
            <w:tcW w:type="dxa" w:w="96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T-04</w:t>
            </w:r>
          </w:p>
        </w:tc>
        <w:tc>
          <w:tcPr>
            <w:tcW w:type="dxa" w:w="4025"/>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Accès direct à une action d'un autre rôle.</w:t>
            </w:r>
          </w:p>
        </w:tc>
        <w:tc>
          <w:tcPr>
            <w:tcW w:type="dxa" w:w="4422"/>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Accès refusé côté serveur.</w:t>
            </w:r>
          </w:p>
        </w:tc>
      </w:tr>
      <w:tr>
        <w:tc>
          <w:tcPr>
            <w:tcW w:type="dxa" w:w="96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T-05</w:t>
            </w:r>
          </w:p>
        </w:tc>
        <w:tc>
          <w:tcPr>
            <w:tcW w:type="dxa" w:w="4025"/>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Rejet sans motif puis avec motif.</w:t>
            </w:r>
          </w:p>
        </w:tc>
        <w:tc>
          <w:tcPr>
            <w:tcW w:type="dxa" w:w="4422"/>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Premier rejet refusé ; second accepté et DM en lecture seule.</w:t>
            </w:r>
          </w:p>
        </w:tc>
      </w:tr>
      <w:tr>
        <w:tc>
          <w:tcPr>
            <w:tcW w:type="dxa" w:w="96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T-06</w:t>
            </w:r>
          </w:p>
        </w:tc>
        <w:tc>
          <w:tcPr>
            <w:tcW w:type="dxa" w:w="4025"/>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Confirmation de réception par le District.</w:t>
            </w:r>
          </w:p>
        </w:tc>
        <w:tc>
          <w:tcPr>
            <w:tcW w:type="dxa" w:w="4422"/>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DM clôturée et non modifiable.</w:t>
            </w:r>
          </w:p>
        </w:tc>
      </w:tr>
      <w:tr>
        <w:tc>
          <w:tcPr>
            <w:tcW w:type="dxa" w:w="964"/>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T-07</w:t>
            </w:r>
          </w:p>
        </w:tc>
        <w:tc>
          <w:tcPr>
            <w:tcW w:type="dxa" w:w="4025"/>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Consultation de l'historique après plusieurs étapes.</w:t>
            </w:r>
          </w:p>
        </w:tc>
        <w:tc>
          <w:tcPr>
            <w:tcW w:type="dxa" w:w="4422"/>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Acteur, date, ancien et nouveau statuts présents.</w:t>
            </w:r>
          </w:p>
        </w:tc>
      </w:tr>
      <w:tr>
        <w:tc>
          <w:tcPr>
            <w:tcW w:type="dxa" w:w="964"/>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T-08</w:t>
            </w:r>
          </w:p>
        </w:tc>
        <w:tc>
          <w:tcPr>
            <w:tcW w:type="dxa" w:w="4025"/>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Création d'un utilisateur et d'un article dans Django Admin.</w:t>
            </w:r>
          </w:p>
        </w:tc>
        <w:tc>
          <w:tcPr>
            <w:tcW w:type="dxa" w:w="4422"/>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7"/>
              </w:rPr>
              <w:t>Données disponibles dans l'application métier.</w:t>
            </w:r>
          </w:p>
        </w:tc>
      </w:tr>
    </w:tbl>
    <w:p>
      <w:pPr>
        <w:widowControl/>
        <w:spacing w:after="20"/>
      </w:pPr>
    </w:p>
    <w:p>
      <w:pPr>
        <w:pStyle w:val="Heading2"/>
        <w:widowControl/>
      </w:pPr>
      <w:r>
        <w:t>12.1 Critères d'acceptation du MVP</w:t>
      </w:r>
    </w:p>
    <w:p>
      <w:pPr>
        <w:pStyle w:val="ListBullet"/>
        <w:widowControl/>
      </w:pPr>
      <w:r>
        <w:rPr>
          <w:rFonts w:ascii="Calibri" w:hAnsi="Calibri" w:eastAsia="Calibri" w:cs="Calibri"/>
          <w:color w:val="202124"/>
          <w:sz w:val="22"/>
        </w:rPr>
        <w:t>Les cinq rôles disposent d'au moins un compte de démonstration.</w:t>
      </w:r>
    </w:p>
    <w:p>
      <w:pPr>
        <w:pStyle w:val="ListBullet"/>
        <w:widowControl/>
      </w:pPr>
      <w:r>
        <w:rPr>
          <w:rFonts w:ascii="Calibri" w:hAnsi="Calibri" w:eastAsia="Calibri" w:cs="Calibri"/>
          <w:color w:val="202124"/>
          <w:sz w:val="22"/>
        </w:rPr>
        <w:t>Le parcours nominal est exécutable de bout en bout.</w:t>
      </w:r>
    </w:p>
    <w:p>
      <w:pPr>
        <w:pStyle w:val="ListBullet"/>
        <w:widowControl/>
      </w:pPr>
      <w:r>
        <w:rPr>
          <w:rFonts w:ascii="Calibri" w:hAnsi="Calibri" w:eastAsia="Calibri" w:cs="Calibri"/>
          <w:color w:val="202124"/>
          <w:sz w:val="22"/>
        </w:rPr>
        <w:t>Les transitions non autorisées sont bloquées côté serveur.</w:t>
      </w:r>
    </w:p>
    <w:p>
      <w:pPr>
        <w:pStyle w:val="ListBullet"/>
        <w:widowControl/>
      </w:pPr>
      <w:r>
        <w:rPr>
          <w:rFonts w:ascii="Calibri" w:hAnsi="Calibri" w:eastAsia="Calibri" w:cs="Calibri"/>
          <w:color w:val="202124"/>
          <w:sz w:val="22"/>
        </w:rPr>
        <w:t>Une demande rejetée ou clôturée est en lecture seule.</w:t>
      </w:r>
    </w:p>
    <w:p>
      <w:pPr>
        <w:pStyle w:val="ListBullet"/>
        <w:widowControl/>
      </w:pPr>
      <w:r>
        <w:rPr>
          <w:rFonts w:ascii="Calibri" w:hAnsi="Calibri" w:eastAsia="Calibri" w:cs="Calibri"/>
          <w:color w:val="202124"/>
          <w:sz w:val="22"/>
        </w:rPr>
        <w:t>L'historique permet de reconstituer toutes les transitions.</w:t>
      </w:r>
    </w:p>
    <w:p>
      <w:pPr>
        <w:pStyle w:val="ListBullet"/>
        <w:widowControl/>
      </w:pPr>
      <w:r>
        <w:rPr>
          <w:rFonts w:ascii="Calibri" w:hAnsi="Calibri" w:eastAsia="Calibri" w:cs="Calibri"/>
          <w:color w:val="202124"/>
          <w:sz w:val="22"/>
        </w:rPr>
        <w:t>Les quatre pages minimales sont lisibles sur un navigateur récent.</w:t>
      </w:r>
    </w:p>
    <w:p>
      <w:pPr>
        <w:pStyle w:val="Heading2"/>
        <w:widowControl/>
      </w:pPr>
      <w:r>
        <w:t>12.2 Validation</w:t>
      </w:r>
    </w:p>
    <w:tbl>
      <w:tblPr>
        <w:tblStyle w:val="TableGrid"/>
        <w:tblW w:type="dxa" w:w="9412"/>
        <w:jc w:val="left"/>
        <w:tblLayout w:type="fixed"/>
        <w:tblLook w:firstColumn="1" w:firstRow="1" w:lastColumn="0" w:lastRow="0" w:noHBand="0" w:noVBand="1" w:val="04A0"/>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Pr>
      <w:tblGrid>
        <w:gridCol w:w="2438"/>
        <w:gridCol w:w="2268"/>
        <w:gridCol w:w="1701"/>
        <w:gridCol w:w="3005"/>
      </w:tblGrid>
      <w:tr>
        <w:trPr>
          <w:tblHeader w:val="true"/>
        </w:trPr>
        <w:tc>
          <w:tcPr>
            <w:tcW w:type="dxa" w:w="2438"/>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Fonction</w:t>
            </w:r>
          </w:p>
        </w:tc>
        <w:tc>
          <w:tcPr>
            <w:tcW w:type="dxa" w:w="2268"/>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Nom</w:t>
            </w:r>
          </w:p>
        </w:tc>
        <w:tc>
          <w:tcPr>
            <w:tcW w:type="dxa" w:w="1701"/>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Date</w:t>
            </w:r>
          </w:p>
        </w:tc>
        <w:tc>
          <w:tcPr>
            <w:tcW w:type="dxa" w:w="3005"/>
            <w:shd w:fill="F2F4F7" w:val="clear"/>
            <w:vAlign w:val="center"/>
            <w:tcMar>
              <w:top w:w="80" w:type="dxa"/>
              <w:start w:w="120" w:type="dxa"/>
              <w:bottom w:w="80" w:type="dxa"/>
              <w:end w:w="120" w:type="dxa"/>
            </w:tcMar>
          </w:tcPr>
          <w:p>
            <w:pPr>
              <w:spacing w:before="40" w:after="40"/>
              <w:jc w:val="center"/>
            </w:pPr>
            <w:r>
              <w:rPr>
                <w:rFonts w:ascii="Calibri" w:hAnsi="Calibri" w:eastAsia="Calibri" w:cs="Calibri"/>
                <w:b/>
                <w:color w:val="0B2545"/>
                <w:sz w:val="18"/>
              </w:rPr>
              <w:t>Avis</w:t>
            </w:r>
          </w:p>
        </w:tc>
      </w:tr>
      <w:tr>
        <w:tc>
          <w:tcPr>
            <w:tcW w:type="dxa" w:w="2438"/>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Encadrant ONCF</w:t>
            </w:r>
          </w:p>
        </w:tc>
        <w:tc>
          <w:tcPr>
            <w:tcW w:type="dxa" w:w="2268"/>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[Nom]</w:t>
            </w:r>
          </w:p>
        </w:tc>
        <w:tc>
          <w:tcPr>
            <w:tcW w:type="dxa" w:w="1701"/>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[Date]</w:t>
            </w:r>
          </w:p>
        </w:tc>
        <w:tc>
          <w:tcPr>
            <w:tcW w:type="dxa" w:w="3005"/>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 Validé   ☐ À corriger</w:t>
            </w:r>
          </w:p>
        </w:tc>
      </w:tr>
      <w:tr>
        <w:tc>
          <w:tcPr>
            <w:tcW w:type="dxa" w:w="2438"/>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Encadrant pédagogique</w:t>
            </w:r>
          </w:p>
        </w:tc>
        <w:tc>
          <w:tcPr>
            <w:tcW w:type="dxa" w:w="2268"/>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[Nom]</w:t>
            </w:r>
          </w:p>
        </w:tc>
        <w:tc>
          <w:tcPr>
            <w:tcW w:type="dxa" w:w="1701"/>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[Date]</w:t>
            </w:r>
          </w:p>
        </w:tc>
        <w:tc>
          <w:tcPr>
            <w:tcW w:type="dxa" w:w="3005"/>
            <w:shd w:fill="F7F9FC" w:val="clear"/>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 Validé   ☐ À corriger</w:t>
            </w:r>
          </w:p>
        </w:tc>
      </w:tr>
      <w:tr>
        <w:tc>
          <w:tcPr>
            <w:tcW w:type="dxa" w:w="2438"/>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Étudiant(e)</w:t>
            </w:r>
          </w:p>
        </w:tc>
        <w:tc>
          <w:tcPr>
            <w:tcW w:type="dxa" w:w="2268"/>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[Nom]</w:t>
            </w:r>
          </w:p>
        </w:tc>
        <w:tc>
          <w:tcPr>
            <w:tcW w:type="dxa" w:w="1701"/>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[Date]</w:t>
            </w:r>
          </w:p>
        </w:tc>
        <w:tc>
          <w:tcPr>
            <w:tcW w:type="dxa" w:w="3005"/>
            <w:vAlign w:val="center"/>
            <w:tcMar>
              <w:top w:w="80" w:type="dxa"/>
              <w:start w:w="120" w:type="dxa"/>
              <w:bottom w:w="80" w:type="dxa"/>
              <w:end w:w="120" w:type="dxa"/>
            </w:tcMar>
          </w:tcPr>
          <w:p>
            <w:pPr>
              <w:spacing w:before="30" w:after="30" w:line="252" w:lineRule="auto"/>
            </w:pPr>
            <w:r>
              <w:rPr>
                <w:rFonts w:ascii="Calibri" w:hAnsi="Calibri" w:eastAsia="Calibri" w:cs="Calibri"/>
                <w:color w:val="202124"/>
                <w:sz w:val="18"/>
              </w:rPr>
              <w:t>☐ Présenté</w:t>
            </w:r>
          </w:p>
        </w:tc>
      </w:tr>
    </w:tbl>
    <w:p>
      <w:pPr>
        <w:widowControl/>
        <w:spacing w:after="20"/>
      </w:pPr>
    </w:p>
    <w:p>
      <w:pPr>
        <w:spacing w:before="100" w:after="160" w:line="264" w:lineRule="auto"/>
        <w:ind w:left="125" w:right="125"/>
        <w:shd w:val="clear" w:fill="E8EEF5"/>
        <w:widowControl/>
        <w:pBdr>
          <w:top w:val="single" w:sz="4" w:space="5" w:color="E8EEF5"/>
          <w:left w:val="single" w:sz="4" w:space="5" w:color="E8EEF5"/>
          <w:bottom w:val="single" w:sz="4" w:space="5" w:color="E8EEF5"/>
          <w:right w:val="single" w:sz="4" w:space="5" w:color="E8EEF5"/>
        </w:pBdr>
      </w:pPr>
      <w:r>
        <w:rPr>
          <w:rFonts w:ascii="Calibri" w:hAnsi="Calibri" w:eastAsia="Calibri" w:cs="Calibri"/>
          <w:b/>
          <w:color w:val="0B2545"/>
          <w:sz w:val="22"/>
        </w:rPr>
        <w:t>Fin du cahier des charges simplifié. Toute fonctionnalité supplémentaire devra être évaluée et planifiée dans une version ultérieure.</w:t>
      </w:r>
    </w:p>
    <w:sectPr w:rsidR="00FC693F" w:rsidRPr="0006063C" w:rsidSect="00034616">
      <w:headerReference w:type="default" r:id="rId13"/>
      <w:headerReference w:type="even" r:id="rId14"/>
      <w:footerReference w:type="default" r:id="rId15"/>
      <w:footerReference w:type="even" r:id="rId16"/>
      <w:pgSz w:w="11906" w:h="16838"/>
      <w:pgMar w:top="1247" w:right="1247" w:bottom="1247"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left="0" w:right="0" w:firstLine="0"/>
      <w:jc w:val="center"/>
    </w:pPr>
    <w:r>
      <w:rPr>
        <w:rFonts w:ascii="Calibri" w:hAnsi="Calibri" w:eastAsia="Calibri" w:cs="Calibri"/>
        <w:color w:val="667085"/>
        <w:sz w:val="17"/>
      </w:rPr>
      <w:t>Document de travail académique - ONCF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left="0" w:right="0" w:firstLine="0"/>
      <w:jc w:val="center"/>
    </w:pPr>
    <w:r>
      <w:rPr>
        <w:rFonts w:ascii="Calibri" w:hAnsi="Calibri" w:eastAsia="Calibri" w:cs="Calibri"/>
        <w:color w:val="667085"/>
        <w:sz w:val="17"/>
      </w:rPr>
      <w:t>Document de travail académique - ONCF - 2026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left="0" w:right="0" w:firstLine="0"/>
      <w:jc w:val="right"/>
    </w:pPr>
    <w:r>
      <w:rPr>
        <w:rFonts w:ascii="Calibri" w:hAnsi="Calibri" w:eastAsia="Calibri" w:cs="Calibri"/>
        <w:color w:val="667085"/>
        <w:sz w:val="18"/>
      </w:rPr>
      <w:t xml:space="preserve">Page </w:t>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left="0" w:right="0" w:firstLine="0"/>
      <w:jc w:val="right"/>
    </w:pPr>
    <w:r>
      <w:rPr>
        <w:rFonts w:ascii="Calibri" w:hAnsi="Calibri" w:eastAsia="Calibri" w:cs="Calibri"/>
        <w:color w:val="667085"/>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ind w:left="0" w:right="0" w:firstLine="0"/>
      <w:jc w:val="lef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ind w:left="0" w:right="0" w:firstLine="0"/>
      <w:jc w:val="lef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ind w:left="0" w:right="0" w:firstLine="0"/>
      <w:jc w:val="left"/>
    </w:pPr>
    <w:r>
      <w:rPr>
        <w:rFonts w:ascii="Calibri" w:hAnsi="Calibri" w:eastAsia="Calibri" w:cs="Calibri"/>
        <w:b/>
        <w:color w:val="667085"/>
        <w:sz w:val="17"/>
      </w:rPr>
      <w:t>CAHIER DES CHARGES SIMPLIFIÉ  |  ONCF</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ind w:left="0" w:right="0" w:firstLine="0"/>
      <w:jc w:val="left"/>
    </w:pPr>
    <w:r>
      <w:rPr>
        <w:rFonts w:ascii="Calibri" w:hAnsi="Calibri" w:eastAsia="Calibri" w:cs="Calibri"/>
        <w:b/>
        <w:color w:val="667085"/>
        <w:sz w:val="17"/>
      </w:rPr>
      <w:t>CAHIER DES CHARGES SIMPLIFIÉ  |  ONCF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ind w:left="0" w:right="0" w:firstLine="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ind w:left="0" w:right="0" w:firstLine="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ind w:left="0" w:right="0" w:firstLine="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0"/>
      <w:ind w:left="0" w:right="0" w:firstLine="0"/>
      <w:contextualSpacing/>
    </w:pPr>
    <w:rPr>
      <w:rFonts w:asciiTheme="majorHAnsi" w:eastAsiaTheme="majorEastAsia" w:hAnsiTheme="majorHAnsi" w:cstheme="majorBidi" w:ascii="Calibri" w:hAnsi="Calibri" w:eastAsia="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ind w:left="0" w:right="0" w:firstLine="0"/>
    </w:pPr>
    <w:rPr>
      <w:rFonts w:asciiTheme="majorHAnsi" w:eastAsiaTheme="majorEastAsia" w:hAnsiTheme="majorHAnsi" w:cstheme="majorBidi" w:ascii="Calibri" w:hAnsi="Calibri" w:eastAsia="Calibri"/>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80" w:after="160"/>
      <w:jc w:val="center"/>
    </w:pPr>
    <w:rPr>
      <w:rFonts w:ascii="Calibri" w:hAnsi="Calibri"/>
      <w:i/>
      <w:color w:val="667085"/>
      <w:sz w:val="18"/>
    </w:rPr>
  </w:style>
  <w:style w:type="paragraph" w:customStyle="1" w:styleId="Callout">
    <w:name w:val="Callout"/>
    <w:pPr>
      <w:spacing w:before="100" w:after="160"/>
      <w:ind w:left="198" w:right="198"/>
    </w:pPr>
    <w:rPr>
      <w:rFonts w:ascii="Calibri" w:hAnsi="Calibri"/>
      <w:i/>
      <w:color w:val="0B254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simplifié - Suivi des Demandes de Matières ONCF</dc:title>
  <dc:subject>Spécification fonctionnelle et technique d'un MVP Django</dc:subject>
  <dc:creator>Élève ingénieur(e) - à compléter</dc:creator>
  <cp:keywords>ONCF, Demande de Matières, Django, cahier des charges, MVP</cp:keywords>
  <dc:description>Document académique simplifié créé à partir du besoin de digitalisation des DM.</dc:description>
  <cp:lastModifiedBy/>
  <cp:revision>1</cp:revision>
  <dcterms:created xsi:type="dcterms:W3CDTF">2013-12-23T23:15:00Z</dcterms:created>
  <dcterms:modified xsi:type="dcterms:W3CDTF">2013-12-23T23:15:00Z</dcterms:modified>
  <cp:category/>
</cp:coreProperties>
</file>