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i w:val="0"/>
          <w:color w:val="1F3A5F"/>
          <w:sz w:val="32"/>
        </w:rPr>
        <w:t>خريطة المنظومة الكاملة — كل من يعمل في تحقق CBAM باستثناء الشريك البلغاري</w:t>
      </w:r>
    </w:p>
    <w:p>
      <w:pPr>
        <w:jc w:val="right"/>
        <w:bidi/>
      </w:pPr>
      <w:r>
        <w:rPr>
          <w:b w:val="0"/>
          <w:i/>
          <w:color w:val="555555"/>
          <w:sz w:val="19"/>
        </w:rPr>
        <w:t>الملف الاستخباراتي رقم 2 — حسام بن مراح — 22 سبتمبر 2026 — مصادر مفتوحة (OSINT)</w:t>
      </w:r>
    </w:p>
    <w:p>
      <w:pPr>
        <w:pStyle w:val="Heading1"/>
        <w:jc w:val="right"/>
        <w:bidi/>
      </w:pPr>
      <w:r>
        <w:rPr>
          <w:color w:val="A01E1E"/>
        </w:rPr>
        <w:t>0. ثلاث نتائج جديدة تسبق كل شيء</w:t>
      </w:r>
    </w:p>
    <w:tbl>
      <w:tblPr>
        <w:tblW w:type="auto" w:w="0"/>
        <w:tblLook w:firstColumn="1" w:firstRow="1" w:lastColumn="0" w:lastRow="0" w:noHBand="0" w:noVBand="1" w:val="04A0"/>
        <w:bidiVisual/>
      </w:tblPr>
      <w:tblGrid>
        <w:gridCol w:w="9972"/>
      </w:tblGrid>
      <w:tr>
        <w:tc>
          <w:tcPr>
            <w:tcW w:type="dxa" w:w="9638"/>
            <w:shd w:val="clear" w:color="auto" w:fill="FDECEC"/>
          </w:tcPr>
          <w:p>
            <w:pPr>
              <w:jc w:val="right"/>
              <w:bidi/>
            </w:pPr>
            <w:r/>
            <w:r>
              <w:rPr>
                <w:b/>
                <w:color w:val="A01E1E"/>
                <w:sz w:val="21"/>
              </w:rPr>
              <w:t>1) الاتحاد الأوروبي وGIZ سبقوك إلى الوزارة: يومَي 16–17 فبراير 2026 نظّم برنامج TaqatHy+ (تمويل EU+ألمانيا، 28 مليون €، تنفيذ GIZ، إشراف وزارة الطاقة) مؤتمراً كاملاً عن CBAM في الجزائر حضرته 10 وزارات — بينها وزارة اقتصاد المعرفة والمؤسسات الناشئة — ومفوضية بروكسل، وخرج بتوصية صريحة: "تعزيز القدرات الوطنية في القياس والإبلاغ والتحقق (MRV)". أي أن الوزير سمع بالملف، والتوصية التي تحملها مكتوبة أصلاً باسم الاتحاد الأوروبي. هذا يقوّي عرضك (لست أول من يقول ذلك) ويُلزمك بأن تُقدّم نفسك كـ"المنفّذ المحلي للتوصية"، لا كمكتشفها.</w:t>
            </w:r>
          </w:p>
        </w:tc>
      </w:tr>
    </w:tbl>
    <w:p/>
    <w:tbl>
      <w:tblPr>
        <w:tblW w:type="auto" w:w="0"/>
        <w:tblLook w:firstColumn="1" w:firstRow="1" w:lastColumn="0" w:lastRow="0" w:noHBand="0" w:noVBand="1" w:val="04A0"/>
        <w:bidiVisual/>
      </w:tblPr>
      <w:tblGrid>
        <w:gridCol w:w="9972"/>
      </w:tblGrid>
      <w:tr>
        <w:tc>
          <w:tcPr>
            <w:tcW w:type="dxa" w:w="9638"/>
            <w:shd w:val="clear" w:color="auto" w:fill="FFF4E5"/>
          </w:tcPr>
          <w:p>
            <w:pPr>
              <w:jc w:val="right"/>
              <w:bidi/>
            </w:pPr>
            <w:r/>
            <w:r>
              <w:rPr>
                <w:b/>
                <w:color w:val="8A5A00"/>
                <w:sz w:val="21"/>
              </w:rPr>
              <w:t>2) فريق Green and Fair كلّه خمسة محققين + مديرة: ألبينا كيتيبوفا (رئيسة الهيئة)، البروفيسورة إكاترينا تودوروفا (مراجعة مستقلة)، د. م. إيفغيني سوكولوفسكي (المحقق الرئيسي والمفوض لدى السجل — وهو نفسه المُصرّح في تحقيق OCCRP)، م. إيفان إيفانوف، م. إيفغينيا يوردانوفا، كالينكا سوكولوفسكا. لا يوجد "أنطون" في القائمة الرسمية لدى وكالة البيئة البلغارية (يناير 2026). اطلب منه توضيح صفته: موظف؟ وكيل تجاري؟ شريك خارجي؟ — فهذا يحدد من يوقّع عقدك.</w:t>
            </w:r>
          </w:p>
        </w:tc>
      </w:tr>
    </w:tbl>
    <w:p/>
    <w:tbl>
      <w:tblPr>
        <w:tblW w:type="auto" w:w="0"/>
        <w:tblLook w:firstColumn="1" w:firstRow="1" w:lastColumn="0" w:lastRow="0" w:noHBand="0" w:noVBand="1" w:val="04A0"/>
        <w:bidiVisual/>
      </w:tblPr>
      <w:tblGrid>
        <w:gridCol w:w="9972"/>
      </w:tblGrid>
      <w:tr>
        <w:tc>
          <w:tcPr>
            <w:tcW w:type="dxa" w:w="9638"/>
            <w:shd w:val="clear" w:color="auto" w:fill="EAF3EA"/>
          </w:tcPr>
          <w:p>
            <w:pPr>
              <w:jc w:val="right"/>
              <w:bidi/>
            </w:pPr>
            <w:r/>
            <w:r>
              <w:rPr>
                <w:b/>
                <w:color w:val="0F6E3C"/>
                <w:sz w:val="21"/>
              </w:rPr>
              <w:t>3) بلغاريا فيها 7 محققي ETS فقط، ومنهم 3 محليون (G&amp;F، SGS Bulgaria، GMI Verify) و4 أجانب يعملون هناك (Emicert وEurocert اليونانيتان، Verifikace CZ وBureau Veritas التشيكيتان). أي أن بديلك الطبيعي في بلغاريا هو SGS Bulgaria (شهادة 11 OB، يناير 2026) — وSGS لها مكتب في الجزائر أصلاً. هذا هو "الشريك ب" الأقوى منطقياً.</w:t>
            </w:r>
          </w:p>
        </w:tc>
      </w:tr>
    </w:tbl>
    <w:p/>
    <w:p>
      <w:pPr>
        <w:pStyle w:val="Heading1"/>
        <w:jc w:val="right"/>
        <w:bidi/>
      </w:pPr>
      <w:r>
        <w:rPr>
          <w:color w:val="1F3A5F"/>
        </w:rPr>
        <w:t>1. الطبقة الأوروبية: من يملك مفاتيح الاعتماد</w:t>
      </w:r>
    </w:p>
    <w:tbl>
      <w:tblPr>
        <w:tblStyle w:val="TableGrid"/>
        <w:tblW w:type="auto" w:w="0"/>
        <w:tblLook w:firstColumn="1" w:firstRow="1" w:lastColumn="0" w:lastRow="0" w:noHBand="0" w:noVBand="1" w:val="04A0"/>
        <w:bidiVisual/>
      </w:tblPr>
      <w:tblGrid>
        <w:gridCol w:w="3324"/>
        <w:gridCol w:w="3324"/>
        <w:gridCol w:w="3324"/>
      </w:tblGrid>
      <w:tr>
        <w:tc>
          <w:tcPr>
            <w:tcW w:type="dxa" w:w="2041"/>
            <w:shd w:val="clear" w:color="auto" w:fill="1F3A5F"/>
          </w:tcPr>
          <w:p>
            <w:pPr>
              <w:jc w:val="right"/>
              <w:bidi/>
            </w:pPr>
            <w:r/>
            <w:r>
              <w:rPr>
                <w:b/>
                <w:color w:val="FFFFFF"/>
                <w:sz w:val="18"/>
              </w:rPr>
              <w:t>الجهة</w:t>
            </w:r>
          </w:p>
        </w:tc>
        <w:tc>
          <w:tcPr>
            <w:tcW w:type="dxa" w:w="3742"/>
            <w:shd w:val="clear" w:color="auto" w:fill="1F3A5F"/>
          </w:tcPr>
          <w:p>
            <w:pPr>
              <w:jc w:val="right"/>
              <w:bidi/>
            </w:pPr>
            <w:r/>
            <w:r>
              <w:rPr>
                <w:b/>
                <w:color w:val="FFFFFF"/>
                <w:sz w:val="18"/>
              </w:rPr>
              <w:t>الدور الفعلي</w:t>
            </w:r>
          </w:p>
        </w:tc>
        <w:tc>
          <w:tcPr>
            <w:tcW w:type="dxa" w:w="3572"/>
            <w:shd w:val="clear" w:color="auto" w:fill="1F3A5F"/>
          </w:tcPr>
          <w:p>
            <w:pPr>
              <w:jc w:val="right"/>
              <w:bidi/>
            </w:pPr>
            <w:r/>
            <w:r>
              <w:rPr>
                <w:b/>
                <w:color w:val="FFFFFF"/>
                <w:sz w:val="18"/>
              </w:rPr>
              <w:t>ما يهمك مباشرة</w:t>
            </w:r>
          </w:p>
        </w:tc>
      </w:tr>
      <w:tr>
        <w:tc>
          <w:tcPr>
            <w:tcW w:type="dxa" w:w="2041"/>
          </w:tcPr>
          <w:p>
            <w:pPr>
              <w:jc w:val="right"/>
              <w:bidi/>
            </w:pPr>
            <w:r/>
            <w:r>
              <w:rPr>
                <w:sz w:val="18"/>
              </w:rPr>
              <w:t>DG TAXUD (المفوضية)</w:t>
            </w:r>
          </w:p>
        </w:tc>
        <w:tc>
          <w:tcPr>
            <w:tcW w:type="dxa" w:w="3742"/>
          </w:tcPr>
          <w:p>
            <w:pPr>
              <w:jc w:val="right"/>
              <w:bidi/>
            </w:pPr>
            <w:r/>
            <w:r>
              <w:rPr>
                <w:sz w:val="18"/>
              </w:rPr>
              <w:t>تنشر قائمة المحققين المعتمدين (متوقعة سبتمبر–أكتوبر 2026)؛ صفحة "Verification of CBAM emissions" (30/06/2026)؛ سجل CBAM يفتح للمحققين 01/09/2026.</w:t>
            </w:r>
          </w:p>
        </w:tc>
        <w:tc>
          <w:tcPr>
            <w:tcW w:type="dxa" w:w="3572"/>
          </w:tcPr>
          <w:p>
            <w:pPr>
              <w:jc w:val="right"/>
              <w:bidi/>
            </w:pPr>
            <w:r/>
            <w:r>
              <w:rPr>
                <w:sz w:val="18"/>
              </w:rPr>
              <w:t>راقب القائمة أسبوعياً. غياب G&amp;F عنها في أول 3 أشهر = إشارة سلبية.</w:t>
            </w:r>
          </w:p>
        </w:tc>
      </w:tr>
      <w:tr>
        <w:tc>
          <w:tcPr>
            <w:tcW w:type="dxa" w:w="2041"/>
          </w:tcPr>
          <w:p>
            <w:pPr>
              <w:jc w:val="right"/>
              <w:bidi/>
            </w:pPr>
            <w:r/>
            <w:r>
              <w:rPr>
                <w:sz w:val="18"/>
              </w:rPr>
              <w:t>هيئات الاعتماد الوطنية (24 هيئة)</w:t>
            </w:r>
          </w:p>
        </w:tc>
        <w:tc>
          <w:tcPr>
            <w:tcW w:type="dxa" w:w="3742"/>
          </w:tcPr>
          <w:p>
            <w:pPr>
              <w:jc w:val="right"/>
              <w:bidi/>
            </w:pPr>
            <w:r/>
            <w:r>
              <w:rPr>
                <w:sz w:val="18"/>
              </w:rPr>
              <w:t>11 فقط جاهزة لقبول الطلبات (يوليو 2026). 7 توافق على اعتماد هيئات من خارج الاتحاد؛ 4 تقبل طلباتها فعلاً: Accredia (إيطاليا)، RvA (هولندا)، Swedac (السويد)، PCA (بولندا).</w:t>
            </w:r>
          </w:p>
        </w:tc>
        <w:tc>
          <w:tcPr>
            <w:tcW w:type="dxa" w:w="3572"/>
          </w:tcPr>
          <w:p>
            <w:pPr>
              <w:jc w:val="right"/>
              <w:bidi/>
            </w:pPr>
            <w:r/>
            <w:r>
              <w:rPr>
                <w:sz w:val="18"/>
              </w:rPr>
              <w:t>هذا هو الباب الوحيد لهيئة جزائرية مستقبلاً — عبر Accredia أو RvA، لا عبر ALGERAC. ضعه في مذكرة الوزير كخطوة 2029+.</w:t>
            </w:r>
          </w:p>
        </w:tc>
      </w:tr>
      <w:tr>
        <w:tc>
          <w:tcPr>
            <w:tcW w:type="dxa" w:w="2041"/>
          </w:tcPr>
          <w:p>
            <w:pPr>
              <w:jc w:val="right"/>
              <w:bidi/>
            </w:pPr>
            <w:r/>
            <w:r>
              <w:rPr>
                <w:sz w:val="18"/>
              </w:rPr>
              <w:t>BAS (بلغاريا)</w:t>
            </w:r>
          </w:p>
        </w:tc>
        <w:tc>
          <w:tcPr>
            <w:tcW w:type="dxa" w:w="3742"/>
          </w:tcPr>
          <w:p>
            <w:pPr>
              <w:jc w:val="right"/>
              <w:bidi/>
            </w:pPr>
            <w:r/>
            <w:r>
              <w:rPr>
                <w:sz w:val="18"/>
              </w:rPr>
              <w:t>تقبل طلبات CBAM. لم تظهر بعد على قائمة EA للأقران المعتمدين لنطاق CBAM.</w:t>
            </w:r>
          </w:p>
        </w:tc>
        <w:tc>
          <w:tcPr>
            <w:tcW w:type="dxa" w:w="3572"/>
          </w:tcPr>
          <w:p>
            <w:pPr>
              <w:jc w:val="right"/>
              <w:bidi/>
            </w:pPr>
            <w:r/>
            <w:r>
              <w:rPr>
                <w:sz w:val="18"/>
              </w:rPr>
              <w:t>خطر: إن تأخّر تقييم الأقران لـ BAS، تتأخر كل المحققين البلغار معاً.</w:t>
            </w:r>
          </w:p>
        </w:tc>
      </w:tr>
      <w:tr>
        <w:tc>
          <w:tcPr>
            <w:tcW w:type="dxa" w:w="2041"/>
          </w:tcPr>
          <w:p>
            <w:pPr>
              <w:jc w:val="right"/>
              <w:bidi/>
            </w:pPr>
            <w:r/>
            <w:r>
              <w:rPr>
                <w:sz w:val="18"/>
              </w:rPr>
              <w:t>COFRAC (فرنسا)</w:t>
            </w:r>
          </w:p>
        </w:tc>
        <w:tc>
          <w:tcPr>
            <w:tcW w:type="dxa" w:w="3742"/>
          </w:tcPr>
          <w:p>
            <w:pPr>
              <w:jc w:val="right"/>
              <w:bidi/>
            </w:pPr>
            <w:r/>
            <w:r>
              <w:rPr>
                <w:sz w:val="18"/>
              </w:rPr>
              <w:t>توافق على اعتماد هيئات خارجية لكنها لم تفتح القبول بعد (يوليو 2026).</w:t>
            </w:r>
          </w:p>
        </w:tc>
        <w:tc>
          <w:tcPr>
            <w:tcW w:type="dxa" w:w="3572"/>
          </w:tcPr>
          <w:p>
            <w:pPr>
              <w:jc w:val="right"/>
              <w:bidi/>
            </w:pPr>
            <w:r/>
            <w:r>
              <w:rPr>
                <w:sz w:val="18"/>
              </w:rPr>
              <w:t>مسار الفرنكوفونية الطبيعي للجزائر — لكنه أبطأ.</w:t>
            </w:r>
          </w:p>
        </w:tc>
      </w:tr>
      <w:tr>
        <w:tc>
          <w:tcPr>
            <w:tcW w:type="dxa" w:w="2041"/>
          </w:tcPr>
          <w:p>
            <w:pPr>
              <w:jc w:val="right"/>
              <w:bidi/>
            </w:pPr>
            <w:r/>
            <w:r>
              <w:rPr>
                <w:sz w:val="18"/>
              </w:rPr>
              <w:t>European Accreditation (EA)</w:t>
            </w:r>
          </w:p>
        </w:tc>
        <w:tc>
          <w:tcPr>
            <w:tcW w:type="dxa" w:w="3742"/>
          </w:tcPr>
          <w:p>
            <w:pPr>
              <w:jc w:val="right"/>
              <w:bidi/>
            </w:pPr>
            <w:r/>
            <w:r>
              <w:rPr>
                <w:sz w:val="18"/>
              </w:rPr>
              <w:t>تقييم الأقران؛ قاعدة بيانات الهيئات المعتمدة.</w:t>
            </w:r>
          </w:p>
        </w:tc>
        <w:tc>
          <w:tcPr>
            <w:tcW w:type="dxa" w:w="3572"/>
          </w:tcPr>
          <w:p>
            <w:pPr>
              <w:jc w:val="right"/>
              <w:bidi/>
            </w:pPr>
            <w:r/>
            <w:r>
              <w:rPr>
                <w:sz w:val="18"/>
              </w:rPr>
              <w:t>مرجع التحقق من أي محقق يدّعي الاعتماد.</w:t>
            </w:r>
          </w:p>
        </w:tc>
      </w:tr>
    </w:tbl>
    <w:p/>
    <w:p>
      <w:pPr>
        <w:pStyle w:val="Heading1"/>
        <w:jc w:val="right"/>
        <w:bidi/>
      </w:pPr>
      <w:r>
        <w:rPr>
          <w:color w:val="1F3A5F"/>
        </w:rPr>
        <w:t>2. المحققون الدوليون (منافسو الشريك ومنافسوك)</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587"/>
            <w:shd w:val="clear" w:color="auto" w:fill="1F3A5F"/>
          </w:tcPr>
          <w:p>
            <w:pPr>
              <w:jc w:val="right"/>
              <w:bidi/>
            </w:pPr>
            <w:r/>
            <w:r>
              <w:rPr>
                <w:b/>
                <w:color w:val="FFFFFF"/>
                <w:sz w:val="18"/>
              </w:rPr>
              <w:t>الجهة</w:t>
            </w:r>
          </w:p>
        </w:tc>
        <w:tc>
          <w:tcPr>
            <w:tcW w:type="dxa" w:w="2948"/>
            <w:shd w:val="clear" w:color="auto" w:fill="1F3A5F"/>
          </w:tcPr>
          <w:p>
            <w:pPr>
              <w:jc w:val="right"/>
              <w:bidi/>
            </w:pPr>
            <w:r/>
            <w:r>
              <w:rPr>
                <w:b/>
                <w:color w:val="FFFFFF"/>
                <w:sz w:val="18"/>
              </w:rPr>
              <w:t>وضع CBAM (سبتمبر 2026)</w:t>
            </w:r>
          </w:p>
        </w:tc>
        <w:tc>
          <w:tcPr>
            <w:tcW w:type="dxa" w:w="2268"/>
            <w:shd w:val="clear" w:color="auto" w:fill="1F3A5F"/>
          </w:tcPr>
          <w:p>
            <w:pPr>
              <w:jc w:val="right"/>
              <w:bidi/>
            </w:pPr>
            <w:r/>
            <w:r>
              <w:rPr>
                <w:b/>
                <w:color w:val="FFFFFF"/>
                <w:sz w:val="18"/>
              </w:rPr>
              <w:t>الحضور المغاربي/الجزائري</w:t>
            </w:r>
          </w:p>
        </w:tc>
        <w:tc>
          <w:tcPr>
            <w:tcW w:type="dxa" w:w="2551"/>
            <w:shd w:val="clear" w:color="auto" w:fill="1F3A5F"/>
          </w:tcPr>
          <w:p>
            <w:pPr>
              <w:jc w:val="right"/>
              <w:bidi/>
            </w:pPr>
            <w:r/>
            <w:r>
              <w:rPr>
                <w:b/>
                <w:color w:val="FFFFFF"/>
                <w:sz w:val="18"/>
              </w:rPr>
              <w:t>التقييم</w:t>
            </w:r>
          </w:p>
        </w:tc>
      </w:tr>
      <w:tr>
        <w:tc>
          <w:tcPr>
            <w:tcW w:type="dxa" w:w="1587"/>
          </w:tcPr>
          <w:p>
            <w:pPr>
              <w:jc w:val="right"/>
              <w:bidi/>
            </w:pPr>
            <w:r/>
            <w:r>
              <w:rPr>
                <w:sz w:val="18"/>
              </w:rPr>
              <w:t>SGS</w:t>
            </w:r>
          </w:p>
        </w:tc>
        <w:tc>
          <w:tcPr>
            <w:tcW w:type="dxa" w:w="2948"/>
          </w:tcPr>
          <w:p>
            <w:pPr>
              <w:jc w:val="right"/>
              <w:bidi/>
            </w:pPr>
            <w:r/>
            <w:r>
              <w:rPr>
                <w:sz w:val="18"/>
              </w:rPr>
              <w:t>معتمد ETS في عدة دول؛ يعتزم توسيع ISO 17029 إلى CBAM؛ يبيع "pre-verification" في المغرب/الجزائر؛ SGS Bulgaria معتمد BAS (11 OB).</w:t>
            </w:r>
          </w:p>
        </w:tc>
        <w:tc>
          <w:tcPr>
            <w:tcW w:type="dxa" w:w="2268"/>
          </w:tcPr>
          <w:p>
            <w:pPr>
              <w:jc w:val="right"/>
              <w:bidi/>
            </w:pPr>
            <w:r/>
            <w:r>
              <w:rPr>
                <w:sz w:val="18"/>
              </w:rPr>
              <w:t>SGS Algérie (الأبيار)، SGS Maroc، SGS Tunisie.</w:t>
            </w:r>
          </w:p>
        </w:tc>
        <w:tc>
          <w:tcPr>
            <w:tcW w:type="dxa" w:w="2551"/>
          </w:tcPr>
          <w:p>
            <w:pPr>
              <w:jc w:val="right"/>
              <w:bidi/>
            </w:pPr>
            <w:r/>
            <w:r>
              <w:rPr>
                <w:sz w:val="18"/>
              </w:rPr>
              <w:t>الشريك ب الأول. نقطة الضعف: شركة ضخمة، لن تمنحك عمولة إحالة سخية ولا حصرية.</w:t>
            </w:r>
          </w:p>
        </w:tc>
      </w:tr>
      <w:tr>
        <w:tc>
          <w:tcPr>
            <w:tcW w:type="dxa" w:w="1587"/>
          </w:tcPr>
          <w:p>
            <w:pPr>
              <w:jc w:val="right"/>
              <w:bidi/>
            </w:pPr>
            <w:r/>
            <w:r>
              <w:rPr>
                <w:sz w:val="18"/>
              </w:rPr>
              <w:t>Bureau Veritas</w:t>
            </w:r>
          </w:p>
        </w:tc>
        <w:tc>
          <w:tcPr>
            <w:tcW w:type="dxa" w:w="2948"/>
          </w:tcPr>
          <w:p>
            <w:pPr>
              <w:jc w:val="right"/>
              <w:bidi/>
            </w:pPr>
            <w:r/>
            <w:r>
              <w:rPr>
                <w:sz w:val="18"/>
              </w:rPr>
              <w:t>طالب اعتماد؛ يبيع "pré-visite CBAM" بمدققين محليين؛ BV Czech معتمد ETS يعمل في بلغاريا.</w:t>
            </w:r>
          </w:p>
        </w:tc>
        <w:tc>
          <w:tcPr>
            <w:tcW w:type="dxa" w:w="2268"/>
          </w:tcPr>
          <w:p>
            <w:pPr>
              <w:jc w:val="right"/>
              <w:bidi/>
            </w:pPr>
            <w:r/>
            <w:r>
              <w:rPr>
                <w:sz w:val="18"/>
              </w:rPr>
              <w:t>BV Algérie (حيدرة) — أقوى مكتب TIC في الجزائر.</w:t>
            </w:r>
          </w:p>
        </w:tc>
        <w:tc>
          <w:tcPr>
            <w:tcW w:type="dxa" w:w="2551"/>
          </w:tcPr>
          <w:p>
            <w:pPr>
              <w:jc w:val="right"/>
              <w:bidi/>
            </w:pPr>
            <w:r/>
            <w:r>
              <w:rPr>
                <w:sz w:val="18"/>
              </w:rPr>
              <w:t>المنافس الأخطر ميدانياً في 2027. سيتعاقد مع Sonatrach مباشرة على الأرجح.</w:t>
            </w:r>
          </w:p>
        </w:tc>
      </w:tr>
      <w:tr>
        <w:tc>
          <w:tcPr>
            <w:tcW w:type="dxa" w:w="1587"/>
          </w:tcPr>
          <w:p>
            <w:pPr>
              <w:jc w:val="right"/>
              <w:bidi/>
            </w:pPr>
            <w:r/>
            <w:r>
              <w:rPr>
                <w:sz w:val="18"/>
              </w:rPr>
              <w:t>TÜV Rheinland</w:t>
            </w:r>
          </w:p>
        </w:tc>
        <w:tc>
          <w:tcPr>
            <w:tcW w:type="dxa" w:w="2948"/>
          </w:tcPr>
          <w:p>
            <w:pPr>
              <w:jc w:val="right"/>
              <w:bidi/>
            </w:pPr>
            <w:r/>
            <w:r>
              <w:rPr>
                <w:sz w:val="18"/>
              </w:rPr>
              <w:t>يعلن نفسه "هيئة تحقق معتمدة" ويقدّم تحققاً CBAM كاملاً.</w:t>
            </w:r>
          </w:p>
        </w:tc>
        <w:tc>
          <w:tcPr>
            <w:tcW w:type="dxa" w:w="2268"/>
          </w:tcPr>
          <w:p>
            <w:pPr>
              <w:jc w:val="right"/>
              <w:bidi/>
            </w:pPr>
            <w:r/>
            <w:r>
              <w:rPr>
                <w:sz w:val="18"/>
              </w:rPr>
              <w:t>TÜV Group Algeria (حيدرة).</w:t>
            </w:r>
          </w:p>
        </w:tc>
        <w:tc>
          <w:tcPr>
            <w:tcW w:type="dxa" w:w="2551"/>
          </w:tcPr>
          <w:p>
            <w:pPr>
              <w:jc w:val="right"/>
              <w:bidi/>
            </w:pPr>
            <w:r/>
            <w:r>
              <w:rPr>
                <w:sz w:val="18"/>
              </w:rPr>
              <w:t>منافس ثانٍ.</w:t>
            </w:r>
          </w:p>
        </w:tc>
      </w:tr>
      <w:tr>
        <w:tc>
          <w:tcPr>
            <w:tcW w:type="dxa" w:w="1587"/>
          </w:tcPr>
          <w:p>
            <w:pPr>
              <w:jc w:val="right"/>
              <w:bidi/>
            </w:pPr>
            <w:r/>
            <w:r>
              <w:rPr>
                <w:sz w:val="18"/>
              </w:rPr>
              <w:t>TÜV NORD / TÜV SÜD</w:t>
            </w:r>
          </w:p>
        </w:tc>
        <w:tc>
          <w:tcPr>
            <w:tcW w:type="dxa" w:w="2948"/>
          </w:tcPr>
          <w:p>
            <w:pPr>
              <w:jc w:val="right"/>
              <w:bidi/>
            </w:pPr>
            <w:r/>
            <w:r>
              <w:rPr>
                <w:sz w:val="18"/>
              </w:rPr>
              <w:t>طالبا اعتماد.</w:t>
            </w:r>
          </w:p>
        </w:tc>
        <w:tc>
          <w:tcPr>
            <w:tcW w:type="dxa" w:w="2268"/>
          </w:tcPr>
          <w:p>
            <w:pPr>
              <w:jc w:val="right"/>
              <w:bidi/>
            </w:pPr>
            <w:r/>
            <w:r>
              <w:rPr>
                <w:sz w:val="18"/>
              </w:rPr>
              <w:t>ضعيف في الجزائر.</w:t>
            </w:r>
          </w:p>
        </w:tc>
        <w:tc>
          <w:tcPr>
            <w:tcW w:type="dxa" w:w="2551"/>
          </w:tcPr>
          <w:p>
            <w:pPr>
              <w:jc w:val="right"/>
              <w:bidi/>
            </w:pPr>
            <w:r/>
            <w:r>
              <w:rPr>
                <w:sz w:val="18"/>
              </w:rPr>
              <w:t>ثانوي.</w:t>
            </w:r>
          </w:p>
        </w:tc>
      </w:tr>
      <w:tr>
        <w:tc>
          <w:tcPr>
            <w:tcW w:type="dxa" w:w="1587"/>
          </w:tcPr>
          <w:p>
            <w:pPr>
              <w:jc w:val="right"/>
              <w:bidi/>
            </w:pPr>
            <w:r/>
            <w:r>
              <w:rPr>
                <w:sz w:val="18"/>
              </w:rPr>
              <w:t>DNV</w:t>
            </w:r>
          </w:p>
        </w:tc>
        <w:tc>
          <w:tcPr>
            <w:tcW w:type="dxa" w:w="2948"/>
          </w:tcPr>
          <w:p>
            <w:pPr>
              <w:jc w:val="right"/>
              <w:bidi/>
            </w:pPr>
            <w:r/>
            <w:r>
              <w:rPr>
                <w:sz w:val="18"/>
              </w:rPr>
              <w:t>اعتمادات GHG عالمية؛ منصة Veracity؛ تحقق عن بُعد.</w:t>
            </w:r>
          </w:p>
        </w:tc>
        <w:tc>
          <w:tcPr>
            <w:tcW w:type="dxa" w:w="2268"/>
          </w:tcPr>
          <w:p>
            <w:pPr>
              <w:jc w:val="right"/>
              <w:bidi/>
            </w:pPr>
            <w:r/>
            <w:r>
              <w:rPr>
                <w:sz w:val="18"/>
              </w:rPr>
              <w:t>لا مكتب جزائري نشط.</w:t>
            </w:r>
          </w:p>
        </w:tc>
        <w:tc>
          <w:tcPr>
            <w:tcW w:type="dxa" w:w="2551"/>
          </w:tcPr>
          <w:p>
            <w:pPr>
              <w:jc w:val="right"/>
              <w:bidi/>
            </w:pPr>
            <w:r/>
            <w:r>
              <w:rPr>
                <w:sz w:val="18"/>
              </w:rPr>
              <w:t>هامشي.</w:t>
            </w:r>
          </w:p>
        </w:tc>
      </w:tr>
      <w:tr>
        <w:tc>
          <w:tcPr>
            <w:tcW w:type="dxa" w:w="1587"/>
          </w:tcPr>
          <w:p>
            <w:pPr>
              <w:jc w:val="right"/>
              <w:bidi/>
            </w:pPr>
            <w:r/>
            <w:r>
              <w:rPr>
                <w:sz w:val="18"/>
              </w:rPr>
              <w:t>RINA (إيطاليا)</w:t>
            </w:r>
          </w:p>
        </w:tc>
        <w:tc>
          <w:tcPr>
            <w:tcW w:type="dxa" w:w="2948"/>
          </w:tcPr>
          <w:p>
            <w:pPr>
              <w:jc w:val="right"/>
              <w:bidi/>
            </w:pPr>
            <w:r/>
            <w:r>
              <w:rPr>
                <w:sz w:val="18"/>
              </w:rPr>
              <w:t>معتمد ETS لدى Accredia؛ يعلن تحققاً رسمياً من يناير 2027؛ pre-verification في 2026.</w:t>
            </w:r>
          </w:p>
        </w:tc>
        <w:tc>
          <w:tcPr>
            <w:tcW w:type="dxa" w:w="2268"/>
          </w:tcPr>
          <w:p>
            <w:pPr>
              <w:jc w:val="right"/>
              <w:bidi/>
            </w:pPr>
            <w:r/>
            <w:r>
              <w:rPr>
                <w:sz w:val="18"/>
              </w:rPr>
              <w:t>لا مكتب — لكن إيطاليا هي المشتري الأول للحديد والأمونيا الجزائريين.</w:t>
            </w:r>
          </w:p>
        </w:tc>
        <w:tc>
          <w:tcPr>
            <w:tcW w:type="dxa" w:w="2551"/>
          </w:tcPr>
          <w:p>
            <w:pPr>
              <w:jc w:val="right"/>
              <w:bidi/>
            </w:pPr>
            <w:r/>
            <w:r>
              <w:rPr>
                <w:sz w:val="18"/>
              </w:rPr>
              <w:t>منافس عبر المستوردين الإيطاليين. راقبه.</w:t>
            </w:r>
          </w:p>
        </w:tc>
      </w:tr>
      <w:tr>
        <w:tc>
          <w:tcPr>
            <w:tcW w:type="dxa" w:w="1587"/>
          </w:tcPr>
          <w:p>
            <w:pPr>
              <w:jc w:val="right"/>
              <w:bidi/>
            </w:pPr>
            <w:r/>
            <w:r>
              <w:rPr>
                <w:sz w:val="18"/>
              </w:rPr>
              <w:t>Emicert (اليونان)</w:t>
            </w:r>
          </w:p>
        </w:tc>
        <w:tc>
          <w:tcPr>
            <w:tcW w:type="dxa" w:w="2948"/>
          </w:tcPr>
          <w:p>
            <w:pPr>
              <w:jc w:val="right"/>
              <w:bidi/>
            </w:pPr>
            <w:r/>
            <w:r>
              <w:rPr>
                <w:sz w:val="18"/>
              </w:rPr>
              <w:t>20 سنة في تحقق CO₂؛ أول معتمد ESYD لقانون المناخ اليوناني؛ انضم لمجموعة CTI؛ معتمد في بلغاريا.</w:t>
            </w:r>
          </w:p>
        </w:tc>
        <w:tc>
          <w:tcPr>
            <w:tcW w:type="dxa" w:w="2268"/>
          </w:tcPr>
          <w:p>
            <w:pPr>
              <w:jc w:val="right"/>
              <w:bidi/>
            </w:pPr>
            <w:r/>
            <w:r>
              <w:rPr>
                <w:sz w:val="18"/>
              </w:rPr>
              <w:t>لا.</w:t>
            </w:r>
          </w:p>
        </w:tc>
        <w:tc>
          <w:tcPr>
            <w:tcW w:type="dxa" w:w="2551"/>
          </w:tcPr>
          <w:p>
            <w:pPr>
              <w:jc w:val="right"/>
              <w:bidi/>
            </w:pPr>
            <w:r/>
            <w:r>
              <w:rPr>
                <w:sz w:val="18"/>
              </w:rPr>
              <w:t>يمكن أن يستهدف شرق المتوسط (مصر/تركيا) قبل الجزائر.</w:t>
            </w:r>
          </w:p>
        </w:tc>
      </w:tr>
      <w:tr>
        <w:tc>
          <w:tcPr>
            <w:tcW w:type="dxa" w:w="1587"/>
          </w:tcPr>
          <w:p>
            <w:pPr>
              <w:jc w:val="right"/>
              <w:bidi/>
            </w:pPr>
            <w:r/>
            <w:r>
              <w:rPr>
                <w:sz w:val="18"/>
              </w:rPr>
              <w:t>Eurocert (اليونان)</w:t>
            </w:r>
          </w:p>
        </w:tc>
        <w:tc>
          <w:tcPr>
            <w:tcW w:type="dxa" w:w="2948"/>
          </w:tcPr>
          <w:p>
            <w:pPr>
              <w:jc w:val="right"/>
              <w:bidi/>
            </w:pPr>
            <w:r/>
            <w:r>
              <w:rPr>
                <w:sz w:val="18"/>
              </w:rPr>
              <w:t>معتمد ETS (اعتماد ESYD)؛ ممثله التركي AURA يبيع تحقق CBAM.</w:t>
            </w:r>
          </w:p>
        </w:tc>
        <w:tc>
          <w:tcPr>
            <w:tcW w:type="dxa" w:w="2268"/>
          </w:tcPr>
          <w:p>
            <w:pPr>
              <w:jc w:val="right"/>
              <w:bidi/>
            </w:pPr>
            <w:r/>
            <w:r>
              <w:rPr>
                <w:sz w:val="18"/>
              </w:rPr>
              <w:t>لا.</w:t>
            </w:r>
          </w:p>
        </w:tc>
        <w:tc>
          <w:tcPr>
            <w:tcW w:type="dxa" w:w="2551"/>
          </w:tcPr>
          <w:p>
            <w:pPr>
              <w:jc w:val="right"/>
              <w:bidi/>
            </w:pPr>
            <w:r/>
            <w:r>
              <w:rPr>
                <w:sz w:val="18"/>
              </w:rPr>
              <w:t>نموذج "ممثل محلي لمحقق أوروبي" — هو بالضبط النموذج الذي تريده أنت مع G&amp;F. ادرسه.</w:t>
            </w:r>
          </w:p>
        </w:tc>
      </w:tr>
      <w:tr>
        <w:tc>
          <w:tcPr>
            <w:tcW w:type="dxa" w:w="1587"/>
          </w:tcPr>
          <w:p>
            <w:pPr>
              <w:jc w:val="right"/>
              <w:bidi/>
            </w:pPr>
            <w:r/>
            <w:r>
              <w:rPr>
                <w:sz w:val="18"/>
              </w:rPr>
              <w:t>LRQA / Apave / DEKRA / AFNOR</w:t>
            </w:r>
          </w:p>
        </w:tc>
        <w:tc>
          <w:tcPr>
            <w:tcW w:type="dxa" w:w="2948"/>
          </w:tcPr>
          <w:p>
            <w:pPr>
              <w:jc w:val="right"/>
              <w:bidi/>
            </w:pPr>
            <w:r/>
            <w:r>
              <w:rPr>
                <w:sz w:val="18"/>
              </w:rPr>
              <w:t>خدمات دعم/تدريب، لا تحقق معتمد بعد.</w:t>
            </w:r>
          </w:p>
        </w:tc>
        <w:tc>
          <w:tcPr>
            <w:tcW w:type="dxa" w:w="2268"/>
          </w:tcPr>
          <w:p>
            <w:pPr>
              <w:jc w:val="right"/>
              <w:bidi/>
            </w:pPr>
            <w:r/>
            <w:r>
              <w:rPr>
                <w:sz w:val="18"/>
              </w:rPr>
              <w:t>مكاتب في الجزائر (Apave، AFNOR/Afaq، DEKRA-Norisko).</w:t>
            </w:r>
          </w:p>
        </w:tc>
        <w:tc>
          <w:tcPr>
            <w:tcW w:type="dxa" w:w="2551"/>
          </w:tcPr>
          <w:p>
            <w:pPr>
              <w:jc w:val="right"/>
              <w:bidi/>
            </w:pPr>
            <w:r/>
            <w:r>
              <w:rPr>
                <w:sz w:val="18"/>
              </w:rPr>
              <w:t>شركاء تدريب لا منافسو تحقق.</w:t>
            </w:r>
          </w:p>
        </w:tc>
      </w:tr>
      <w:tr>
        <w:tc>
          <w:tcPr>
            <w:tcW w:type="dxa" w:w="1587"/>
          </w:tcPr>
          <w:p>
            <w:pPr>
              <w:jc w:val="right"/>
              <w:bidi/>
            </w:pPr>
            <w:r/>
            <w:r>
              <w:rPr>
                <w:sz w:val="18"/>
              </w:rPr>
              <w:t>Danem Test (ألمانيا/الهند)</w:t>
            </w:r>
          </w:p>
        </w:tc>
        <w:tc>
          <w:tcPr>
            <w:tcW w:type="dxa" w:w="2948"/>
          </w:tcPr>
          <w:p>
            <w:pPr>
              <w:jc w:val="right"/>
              <w:bidi/>
            </w:pPr>
            <w:r/>
            <w:r>
              <w:rPr>
                <w:sz w:val="18"/>
              </w:rPr>
              <w:t>يبيع "تحقق CBAM" لمصدّري مصر والخليج.</w:t>
            </w:r>
          </w:p>
        </w:tc>
        <w:tc>
          <w:tcPr>
            <w:tcW w:type="dxa" w:w="2268"/>
          </w:tcPr>
          <w:p>
            <w:pPr>
              <w:jc w:val="right"/>
              <w:bidi/>
            </w:pPr>
            <w:r/>
            <w:r>
              <w:rPr>
                <w:sz w:val="18"/>
              </w:rPr>
              <w:t>لا.</w:t>
            </w:r>
          </w:p>
        </w:tc>
        <w:tc>
          <w:tcPr>
            <w:tcW w:type="dxa" w:w="2551"/>
          </w:tcPr>
          <w:p>
            <w:pPr>
              <w:jc w:val="right"/>
              <w:bidi/>
            </w:pPr>
            <w:r/>
            <w:r>
              <w:rPr>
                <w:sz w:val="18"/>
              </w:rPr>
              <w:t>مثال على اللاعبين الصغار الذين سيدخلون السوق.</w:t>
            </w:r>
          </w:p>
        </w:tc>
      </w:tr>
    </w:tbl>
    <w:p/>
    <w:p>
      <w:pPr>
        <w:pStyle w:val="Heading1"/>
        <w:jc w:val="right"/>
        <w:bidi/>
      </w:pPr>
      <w:r>
        <w:rPr>
          <w:color w:val="1F3A5F"/>
        </w:rPr>
        <w:t>3. الجزائر: من يعمل فعلاً في الملف (ولا أحد منهم محقق)</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814"/>
            <w:shd w:val="clear" w:color="auto" w:fill="1F3A5F"/>
          </w:tcPr>
          <w:p>
            <w:pPr>
              <w:jc w:val="right"/>
              <w:bidi/>
            </w:pPr>
            <w:r/>
            <w:r>
              <w:rPr>
                <w:b/>
                <w:color w:val="FFFFFF"/>
                <w:sz w:val="18"/>
              </w:rPr>
              <w:t>الجهة</w:t>
            </w:r>
          </w:p>
        </w:tc>
        <w:tc>
          <w:tcPr>
            <w:tcW w:type="dxa" w:w="2835"/>
            <w:shd w:val="clear" w:color="auto" w:fill="1F3A5F"/>
          </w:tcPr>
          <w:p>
            <w:pPr>
              <w:jc w:val="right"/>
              <w:bidi/>
            </w:pPr>
            <w:r/>
            <w:r>
              <w:rPr>
                <w:b/>
                <w:color w:val="FFFFFF"/>
                <w:sz w:val="18"/>
              </w:rPr>
              <w:t>ماذا فعلت/تفعل</w:t>
            </w:r>
          </w:p>
        </w:tc>
        <w:tc>
          <w:tcPr>
            <w:tcW w:type="dxa" w:w="2268"/>
            <w:shd w:val="clear" w:color="auto" w:fill="1F3A5F"/>
          </w:tcPr>
          <w:p>
            <w:pPr>
              <w:jc w:val="right"/>
              <w:bidi/>
            </w:pPr>
            <w:r/>
            <w:r>
              <w:rPr>
                <w:b/>
                <w:color w:val="FFFFFF"/>
                <w:sz w:val="18"/>
              </w:rPr>
              <w:t>الأشخاص</w:t>
            </w:r>
          </w:p>
        </w:tc>
        <w:tc>
          <w:tcPr>
            <w:tcW w:type="dxa" w:w="2438"/>
            <w:shd w:val="clear" w:color="auto" w:fill="1F3A5F"/>
          </w:tcPr>
          <w:p>
            <w:pPr>
              <w:jc w:val="right"/>
              <w:bidi/>
            </w:pPr>
            <w:r/>
            <w:r>
              <w:rPr>
                <w:b/>
                <w:color w:val="FFFFFF"/>
                <w:sz w:val="18"/>
              </w:rPr>
              <w:t>ما تفعله أنت</w:t>
            </w:r>
          </w:p>
        </w:tc>
      </w:tr>
      <w:tr>
        <w:tc>
          <w:tcPr>
            <w:tcW w:type="dxa" w:w="1814"/>
          </w:tcPr>
          <w:p>
            <w:pPr>
              <w:jc w:val="right"/>
              <w:bidi/>
            </w:pPr>
            <w:r/>
            <w:r>
              <w:rPr>
                <w:sz w:val="18"/>
              </w:rPr>
              <w:t>GIZ Algérie — برنامج TaqatHy+</w:t>
            </w:r>
          </w:p>
        </w:tc>
        <w:tc>
          <w:tcPr>
            <w:tcW w:type="dxa" w:w="2835"/>
          </w:tcPr>
          <w:p>
            <w:pPr>
              <w:jc w:val="right"/>
              <w:bidi/>
            </w:pPr>
            <w:r/>
            <w:r>
              <w:rPr>
                <w:sz w:val="18"/>
              </w:rPr>
              <w:t>مؤتمر CBAM (16–17/02/2026) بمشاركة 10 وزارات + المفوضية؛ ورشات قطاعية (أسمدة/إسمنت/حديد)؛ يستمر حتى مايو 2029؛ ميزانية 28 مليون €.</w:t>
            </w:r>
          </w:p>
        </w:tc>
        <w:tc>
          <w:tcPr>
            <w:tcW w:type="dxa" w:w="2268"/>
          </w:tcPr>
          <w:p>
            <w:pPr>
              <w:jc w:val="right"/>
              <w:bidi/>
            </w:pPr>
            <w:r/>
            <w:r>
              <w:rPr>
                <w:sz w:val="18"/>
              </w:rPr>
              <w:t>المديرة العامة GIZ الجزائر: Martina Vahlhaus؛ مدير الطاقات المتجددة بوزارة الطاقة: مراد شيخي؛ كاتب الدولة للطاقات المتجددة: نور الدين ياسع.</w:t>
            </w:r>
          </w:p>
        </w:tc>
        <w:tc>
          <w:tcPr>
            <w:tcW w:type="dxa" w:w="2438"/>
          </w:tcPr>
          <w:p>
            <w:pPr>
              <w:jc w:val="right"/>
              <w:bidi/>
            </w:pPr>
            <w:r/>
            <w:r>
              <w:rPr>
                <w:sz w:val="18"/>
              </w:rPr>
              <w:t>أهم باب مؤسسي بعد الوزير. اطلب محضر توصيات المؤتمر واعرض عليهم "مسار تأهيل المدققين" كمشروع تنفيذي لتوصيتهم عن MRV.</w:t>
            </w:r>
          </w:p>
        </w:tc>
      </w:tr>
      <w:tr>
        <w:tc>
          <w:tcPr>
            <w:tcW w:type="dxa" w:w="1814"/>
          </w:tcPr>
          <w:p>
            <w:pPr>
              <w:jc w:val="right"/>
              <w:bidi/>
            </w:pPr>
            <w:r/>
            <w:r>
              <w:rPr>
                <w:sz w:val="18"/>
              </w:rPr>
              <w:t>بعثة الاتحاد الأوروبي بالجزائر</w:t>
            </w:r>
          </w:p>
        </w:tc>
        <w:tc>
          <w:tcPr>
            <w:tcW w:type="dxa" w:w="2835"/>
          </w:tcPr>
          <w:p>
            <w:pPr>
              <w:jc w:val="right"/>
              <w:bidi/>
            </w:pPr>
            <w:r/>
            <w:r>
              <w:rPr>
                <w:sz w:val="18"/>
              </w:rPr>
              <w:t>شريك المؤتمر؛ تعهّدت بـ"أدوات تعاون تقني وحوار منتظم" حول CBAM.</w:t>
            </w:r>
          </w:p>
        </w:tc>
        <w:tc>
          <w:tcPr>
            <w:tcW w:type="dxa" w:w="2268"/>
          </w:tcPr>
          <w:p>
            <w:pPr>
              <w:jc w:val="right"/>
              <w:bidi/>
            </w:pPr>
            <w:r/>
            <w:r>
              <w:rPr>
                <w:sz w:val="18"/>
              </w:rPr>
              <w:t>السفير Diego Mellado Pascua؛ DG MENA بالمفوضية: Stefano Sannino (زار الجزائر).</w:t>
            </w:r>
          </w:p>
        </w:tc>
        <w:tc>
          <w:tcPr>
            <w:tcW w:type="dxa" w:w="2438"/>
          </w:tcPr>
          <w:p>
            <w:pPr>
              <w:jc w:val="right"/>
              <w:bidi/>
            </w:pPr>
            <w:r/>
            <w:r>
              <w:rPr>
                <w:sz w:val="18"/>
              </w:rPr>
              <w:t>أي برنامج وطني ستريد البعثة الظهور فيه — استخدم ذلك في مذكرة الوزير ("cadre du dialogue UE–Algérie sur le CBAM").</w:t>
            </w:r>
          </w:p>
        </w:tc>
      </w:tr>
      <w:tr>
        <w:tc>
          <w:tcPr>
            <w:tcW w:type="dxa" w:w="1814"/>
          </w:tcPr>
          <w:p>
            <w:pPr>
              <w:jc w:val="right"/>
              <w:bidi/>
            </w:pPr>
            <w:r/>
            <w:r>
              <w:rPr>
                <w:sz w:val="18"/>
              </w:rPr>
              <w:t>وزارة الطاقة والطاقات المتجددة</w:t>
            </w:r>
          </w:p>
        </w:tc>
        <w:tc>
          <w:tcPr>
            <w:tcW w:type="dxa" w:w="2835"/>
          </w:tcPr>
          <w:p>
            <w:pPr>
              <w:jc w:val="right"/>
              <w:bidi/>
            </w:pPr>
            <w:r/>
            <w:r>
              <w:rPr>
                <w:sz w:val="18"/>
              </w:rPr>
              <w:t>الوصي على TaqatHy+؛ الوزير مراد عجال.</w:t>
            </w:r>
          </w:p>
        </w:tc>
        <w:tc>
          <w:tcPr>
            <w:tcW w:type="dxa" w:w="2268"/>
          </w:tcPr>
          <w:p>
            <w:pPr>
              <w:jc w:val="right"/>
              <w:bidi/>
            </w:pPr>
            <w:r/>
            <w:r>
              <w:rPr>
                <w:sz w:val="18"/>
              </w:rPr>
              <w:t>—</w:t>
            </w:r>
          </w:p>
        </w:tc>
        <w:tc>
          <w:tcPr>
            <w:tcW w:type="dxa" w:w="2438"/>
          </w:tcPr>
          <w:p>
            <w:pPr>
              <w:jc w:val="right"/>
              <w:bidi/>
            </w:pPr>
            <w:r/>
            <w:r>
              <w:rPr>
                <w:sz w:val="18"/>
              </w:rPr>
              <w:t>القناة الرسمية لـ CBAM في الجزائر اليوم هي الطاقة، لا اقتصاد المعرفة. وزيرك هو الطريق "الجانبي" الأسرع لا الطريق الرسمي — كن واعياً بذلك.</w:t>
            </w:r>
          </w:p>
        </w:tc>
      </w:tr>
      <w:tr>
        <w:tc>
          <w:tcPr>
            <w:tcW w:type="dxa" w:w="1814"/>
          </w:tcPr>
          <w:p>
            <w:pPr>
              <w:jc w:val="right"/>
              <w:bidi/>
            </w:pPr>
            <w:r/>
            <w:r>
              <w:rPr>
                <w:sz w:val="18"/>
              </w:rPr>
              <w:t>وزارة المحروقات والمناجم</w:t>
            </w:r>
          </w:p>
        </w:tc>
        <w:tc>
          <w:tcPr>
            <w:tcW w:type="dxa" w:w="2835"/>
          </w:tcPr>
          <w:p>
            <w:pPr>
              <w:jc w:val="right"/>
              <w:bidi/>
            </w:pPr>
            <w:r/>
            <w:r>
              <w:rPr>
                <w:sz w:val="18"/>
              </w:rPr>
              <w:t>شريكة في تنظيم المؤتمر؛ وصاية Sonatrach.</w:t>
            </w:r>
          </w:p>
        </w:tc>
        <w:tc>
          <w:tcPr>
            <w:tcW w:type="dxa" w:w="2268"/>
          </w:tcPr>
          <w:p>
            <w:pPr>
              <w:jc w:val="right"/>
              <w:bidi/>
            </w:pPr>
            <w:r/>
            <w:r>
              <w:rPr>
                <w:sz w:val="18"/>
              </w:rPr>
              <w:t>—</w:t>
            </w:r>
          </w:p>
        </w:tc>
        <w:tc>
          <w:tcPr>
            <w:tcW w:type="dxa" w:w="2438"/>
          </w:tcPr>
          <w:p>
            <w:pPr>
              <w:jc w:val="right"/>
              <w:bidi/>
            </w:pPr>
            <w:r/>
            <w:r>
              <w:rPr>
                <w:sz w:val="18"/>
              </w:rPr>
              <w:t>أكبر مالك للمنشآت. مدخلك إليها عبر GIZ أو Sonatrach مباشرة.</w:t>
            </w:r>
          </w:p>
        </w:tc>
      </w:tr>
      <w:tr>
        <w:tc>
          <w:tcPr>
            <w:tcW w:type="dxa" w:w="1814"/>
          </w:tcPr>
          <w:p>
            <w:pPr>
              <w:jc w:val="right"/>
              <w:bidi/>
            </w:pPr>
            <w:r/>
            <w:r>
              <w:rPr>
                <w:sz w:val="18"/>
              </w:rPr>
              <w:t>CREA (مجلس التجديد الاقتصادي)</w:t>
            </w:r>
          </w:p>
        </w:tc>
        <w:tc>
          <w:tcPr>
            <w:tcW w:type="dxa" w:w="2835"/>
          </w:tcPr>
          <w:p>
            <w:pPr>
              <w:jc w:val="right"/>
              <w:bidi/>
            </w:pPr>
            <w:r/>
            <w:r>
              <w:rPr>
                <w:sz w:val="18"/>
              </w:rPr>
              <w:t>منظمة أرباب العمل الأقرب للسلطة.</w:t>
            </w:r>
          </w:p>
        </w:tc>
        <w:tc>
          <w:tcPr>
            <w:tcW w:type="dxa" w:w="2268"/>
          </w:tcPr>
          <w:p>
            <w:pPr>
              <w:jc w:val="right"/>
              <w:bidi/>
            </w:pPr>
            <w:r/>
            <w:r>
              <w:rPr>
                <w:sz w:val="18"/>
              </w:rPr>
              <w:t>الرئيس كمال مولى.</w:t>
            </w:r>
          </w:p>
        </w:tc>
        <w:tc>
          <w:tcPr>
            <w:tcW w:type="dxa" w:w="2438"/>
          </w:tcPr>
          <w:p>
            <w:pPr>
              <w:jc w:val="right"/>
              <w:bidi/>
            </w:pPr>
            <w:r/>
            <w:r>
              <w:rPr>
                <w:sz w:val="18"/>
              </w:rPr>
              <w:t>منصة لورشة "المصدّرون الجزائريون وCBAM".</w:t>
            </w:r>
          </w:p>
        </w:tc>
      </w:tr>
      <w:tr>
        <w:tc>
          <w:tcPr>
            <w:tcW w:type="dxa" w:w="1814"/>
          </w:tcPr>
          <w:p>
            <w:pPr>
              <w:jc w:val="right"/>
              <w:bidi/>
            </w:pPr>
            <w:r/>
            <w:r>
              <w:rPr>
                <w:sz w:val="18"/>
              </w:rPr>
              <w:t>AAPI (وكالة ترقية الاستثمار)</w:t>
            </w:r>
          </w:p>
        </w:tc>
        <w:tc>
          <w:tcPr>
            <w:tcW w:type="dxa" w:w="2835"/>
          </w:tcPr>
          <w:p>
            <w:pPr>
              <w:jc w:val="right"/>
              <w:bidi/>
            </w:pPr>
            <w:r/>
            <w:r>
              <w:rPr>
                <w:sz w:val="18"/>
              </w:rPr>
              <w:t>—</w:t>
            </w:r>
          </w:p>
        </w:tc>
        <w:tc>
          <w:tcPr>
            <w:tcW w:type="dxa" w:w="2268"/>
          </w:tcPr>
          <w:p>
            <w:pPr>
              <w:jc w:val="right"/>
              <w:bidi/>
            </w:pPr>
            <w:r/>
            <w:r>
              <w:rPr>
                <w:sz w:val="18"/>
              </w:rPr>
              <w:t>المدير العام عمر ركاش.</w:t>
            </w:r>
          </w:p>
        </w:tc>
        <w:tc>
          <w:tcPr>
            <w:tcW w:type="dxa" w:w="2438"/>
          </w:tcPr>
          <w:p>
            <w:pPr>
              <w:jc w:val="right"/>
              <w:bidi/>
            </w:pPr>
            <w:r/>
            <w:r>
              <w:rPr>
                <w:sz w:val="18"/>
              </w:rPr>
              <w:t>ثانوي.</w:t>
            </w:r>
          </w:p>
        </w:tc>
      </w:tr>
      <w:tr>
        <w:tc>
          <w:tcPr>
            <w:tcW w:type="dxa" w:w="1814"/>
          </w:tcPr>
          <w:p>
            <w:pPr>
              <w:jc w:val="right"/>
              <w:bidi/>
            </w:pPr>
            <w:r/>
            <w:r>
              <w:rPr>
                <w:sz w:val="18"/>
              </w:rPr>
              <w:t>ALGERAC / IANOR</w:t>
            </w:r>
          </w:p>
        </w:tc>
        <w:tc>
          <w:tcPr>
            <w:tcW w:type="dxa" w:w="2835"/>
          </w:tcPr>
          <w:p>
            <w:pPr>
              <w:jc w:val="right"/>
              <w:bidi/>
            </w:pPr>
            <w:r/>
            <w:r>
              <w:rPr>
                <w:sz w:val="18"/>
              </w:rPr>
              <w:t>لا نطاق ISO 14065؛ لا مرجع MRV وطني.</w:t>
            </w:r>
          </w:p>
        </w:tc>
        <w:tc>
          <w:tcPr>
            <w:tcW w:type="dxa" w:w="2268"/>
          </w:tcPr>
          <w:p>
            <w:pPr>
              <w:jc w:val="right"/>
              <w:bidi/>
            </w:pPr>
            <w:r/>
            <w:r>
              <w:rPr>
                <w:sz w:val="18"/>
              </w:rPr>
              <w:t>المدير العام ALGERAC: نور الدين بوديسة.</w:t>
            </w:r>
          </w:p>
        </w:tc>
        <w:tc>
          <w:tcPr>
            <w:tcW w:type="dxa" w:w="2438"/>
          </w:tcPr>
          <w:p>
            <w:pPr>
              <w:jc w:val="right"/>
              <w:bidi/>
            </w:pPr>
            <w:r/>
            <w:r>
              <w:rPr>
                <w:sz w:val="18"/>
              </w:rPr>
              <w:t>الفجوة التي يملؤها برنامجك. المغرب سبقها بقانون 75-24 وIMANOR.</w:t>
            </w:r>
          </w:p>
        </w:tc>
      </w:tr>
      <w:tr>
        <w:tc>
          <w:tcPr>
            <w:tcW w:type="dxa" w:w="1814"/>
          </w:tcPr>
          <w:p>
            <w:pPr>
              <w:jc w:val="right"/>
              <w:bidi/>
            </w:pPr>
            <w:r/>
            <w:r>
              <w:rPr>
                <w:sz w:val="18"/>
              </w:rPr>
              <w:t>مكاتب الاستشارات المحلية</w:t>
            </w:r>
          </w:p>
        </w:tc>
        <w:tc>
          <w:tcPr>
            <w:tcW w:type="dxa" w:w="2835"/>
          </w:tcPr>
          <w:p>
            <w:pPr>
              <w:jc w:val="right"/>
              <w:bidi/>
            </w:pPr>
            <w:r/>
            <w:r>
              <w:rPr>
                <w:sz w:val="18"/>
              </w:rPr>
              <w:t>Qualitest، NORMISO، ENACT، مكاتب ISO 14001/50001 في عنابة/وهران. لا أحد يقدّم ISO 14064 محلياً سوى SGS.</w:t>
            </w:r>
          </w:p>
        </w:tc>
        <w:tc>
          <w:tcPr>
            <w:tcW w:type="dxa" w:w="2268"/>
          </w:tcPr>
          <w:p>
            <w:pPr>
              <w:jc w:val="right"/>
              <w:bidi/>
            </w:pPr>
            <w:r/>
            <w:r>
              <w:rPr>
                <w:sz w:val="18"/>
              </w:rPr>
              <w:t>—</w:t>
            </w:r>
          </w:p>
        </w:tc>
        <w:tc>
          <w:tcPr>
            <w:tcW w:type="dxa" w:w="2438"/>
          </w:tcPr>
          <w:p>
            <w:pPr>
              <w:jc w:val="right"/>
              <w:bidi/>
            </w:pPr>
            <w:r/>
            <w:r>
              <w:rPr>
                <w:sz w:val="18"/>
              </w:rPr>
              <w:t>شريك "ذو خبرة ISO" الذي طلبه أنطون. اختر واحداً في عنابة.</w:t>
            </w:r>
          </w:p>
        </w:tc>
      </w:tr>
      <w:tr>
        <w:tc>
          <w:tcPr>
            <w:tcW w:type="dxa" w:w="1814"/>
          </w:tcPr>
          <w:p>
            <w:pPr>
              <w:jc w:val="right"/>
              <w:bidi/>
            </w:pPr>
            <w:r/>
            <w:r>
              <w:rPr>
                <w:sz w:val="18"/>
              </w:rPr>
              <w:t>virCBAM (Viresg)</w:t>
            </w:r>
          </w:p>
        </w:tc>
        <w:tc>
          <w:tcPr>
            <w:tcW w:type="dxa" w:w="2835"/>
          </w:tcPr>
          <w:p>
            <w:pPr>
              <w:jc w:val="right"/>
              <w:bidi/>
            </w:pPr>
            <w:r/>
            <w:r>
              <w:rPr>
                <w:sz w:val="18"/>
              </w:rPr>
              <w:t>منصة SaaS مغاربية (المغرب/تونس/الجزائر) لحساب الانبعاثات وتوليد XML للسجل؛ تكامل مع Sonelgaz؛ تُحيل التحقق إلى SGS/BV.</w:t>
            </w:r>
          </w:p>
        </w:tc>
        <w:tc>
          <w:tcPr>
            <w:tcW w:type="dxa" w:w="2268"/>
          </w:tcPr>
          <w:p>
            <w:pPr>
              <w:jc w:val="right"/>
              <w:bidi/>
            </w:pPr>
            <w:r/>
            <w:r>
              <w:rPr>
                <w:sz w:val="18"/>
              </w:rPr>
              <w:t>hello@viresg.com</w:t>
            </w:r>
          </w:p>
        </w:tc>
        <w:tc>
          <w:tcPr>
            <w:tcW w:type="dxa" w:w="2438"/>
          </w:tcPr>
          <w:p>
            <w:pPr>
              <w:jc w:val="right"/>
              <w:bidi/>
            </w:pPr>
            <w:r/>
            <w:r>
              <w:rPr>
                <w:sz w:val="18"/>
              </w:rPr>
              <w:t>منافس مباشر لفكرة "startup MRV Carbone Algérie" — أو شريك تقني إذا أردت اختصار سنة تطوير. اتصل بهم قبل أن تعرض الفكرة على الوزير.</w:t>
            </w:r>
          </w:p>
        </w:tc>
      </w:tr>
    </w:tbl>
    <w:p/>
    <w:p>
      <w:pPr>
        <w:pStyle w:val="Heading1"/>
        <w:jc w:val="right"/>
        <w:bidi/>
      </w:pPr>
      <w:r>
        <w:rPr>
          <w:color w:val="1F3A5F"/>
        </w:rPr>
        <w:t>4. الجيران: من سبق ومن يمكن الاقتداء به</w:t>
      </w:r>
    </w:p>
    <w:tbl>
      <w:tblPr>
        <w:tblStyle w:val="TableGrid"/>
        <w:tblW w:type="auto" w:w="0"/>
        <w:tblLook w:firstColumn="1" w:firstRow="1" w:lastColumn="0" w:lastRow="0" w:noHBand="0" w:noVBand="1" w:val="04A0"/>
        <w:bidiVisual/>
      </w:tblPr>
      <w:tblGrid>
        <w:gridCol w:w="2493"/>
        <w:gridCol w:w="2493"/>
        <w:gridCol w:w="2493"/>
        <w:gridCol w:w="2493"/>
      </w:tblGrid>
      <w:tr>
        <w:tc>
          <w:tcPr>
            <w:tcW w:type="dxa" w:w="1134"/>
            <w:shd w:val="clear" w:color="auto" w:fill="1F3A5F"/>
          </w:tcPr>
          <w:p>
            <w:pPr>
              <w:jc w:val="right"/>
              <w:bidi/>
            </w:pPr>
            <w:r/>
            <w:r>
              <w:rPr>
                <w:b/>
                <w:color w:val="FFFFFF"/>
                <w:sz w:val="18"/>
              </w:rPr>
              <w:t>البلد</w:t>
            </w:r>
          </w:p>
        </w:tc>
        <w:tc>
          <w:tcPr>
            <w:tcW w:type="dxa" w:w="3005"/>
            <w:shd w:val="clear" w:color="auto" w:fill="1F3A5F"/>
          </w:tcPr>
          <w:p>
            <w:pPr>
              <w:jc w:val="right"/>
              <w:bidi/>
            </w:pPr>
            <w:r/>
            <w:r>
              <w:rPr>
                <w:b/>
                <w:color w:val="FFFFFF"/>
                <w:sz w:val="18"/>
              </w:rPr>
              <w:t>النموذج</w:t>
            </w:r>
          </w:p>
        </w:tc>
        <w:tc>
          <w:tcPr>
            <w:tcW w:type="dxa" w:w="2494"/>
            <w:shd w:val="clear" w:color="auto" w:fill="1F3A5F"/>
          </w:tcPr>
          <w:p>
            <w:pPr>
              <w:jc w:val="right"/>
              <w:bidi/>
            </w:pPr>
            <w:r/>
            <w:r>
              <w:rPr>
                <w:b/>
                <w:color w:val="FFFFFF"/>
                <w:sz w:val="18"/>
              </w:rPr>
              <w:t>الأشخاص/الجهات</w:t>
            </w:r>
          </w:p>
        </w:tc>
        <w:tc>
          <w:tcPr>
            <w:tcW w:type="dxa" w:w="2721"/>
            <w:shd w:val="clear" w:color="auto" w:fill="1F3A5F"/>
          </w:tcPr>
          <w:p>
            <w:pPr>
              <w:jc w:val="right"/>
              <w:bidi/>
            </w:pPr>
            <w:r/>
            <w:r>
              <w:rPr>
                <w:b/>
                <w:color w:val="FFFFFF"/>
                <w:sz w:val="18"/>
              </w:rPr>
              <w:t>الدرس للجزائر</w:t>
            </w:r>
          </w:p>
        </w:tc>
      </w:tr>
      <w:tr>
        <w:tc>
          <w:tcPr>
            <w:tcW w:type="dxa" w:w="1134"/>
          </w:tcPr>
          <w:p>
            <w:pPr>
              <w:jc w:val="right"/>
              <w:bidi/>
            </w:pPr>
            <w:r/>
            <w:r>
              <w:rPr>
                <w:sz w:val="18"/>
              </w:rPr>
              <w:t>المغرب</w:t>
            </w:r>
          </w:p>
        </w:tc>
        <w:tc>
          <w:tcPr>
            <w:tcW w:type="dxa" w:w="3005"/>
          </w:tcPr>
          <w:p>
            <w:pPr>
              <w:jc w:val="right"/>
              <w:bidi/>
            </w:pPr>
            <w:r/>
            <w:r>
              <w:rPr>
                <w:sz w:val="18"/>
              </w:rPr>
              <w:t>قانون 75-24 يعيّن IMANOR "الهيئة المرجعية الوطنية للتحقق من المحتوى الكربوني"؛ نظام تحقق وطني قيد الاعتماد الأوروبي.</w:t>
            </w:r>
          </w:p>
        </w:tc>
        <w:tc>
          <w:tcPr>
            <w:tcW w:type="dxa" w:w="2494"/>
          </w:tcPr>
          <w:p>
            <w:pPr>
              <w:jc w:val="right"/>
              <w:bidi/>
            </w:pPr>
            <w:r/>
            <w:r>
              <w:rPr>
                <w:sz w:val="18"/>
              </w:rPr>
              <w:t>المدير العام IMANOR: عبد الرحيم الطيبي. تأثير CBAM على 3.7% فقط من صادرات المغرب للاتحاد (CESE).</w:t>
            </w:r>
          </w:p>
        </w:tc>
        <w:tc>
          <w:tcPr>
            <w:tcW w:type="dxa" w:w="2721"/>
          </w:tcPr>
          <w:p>
            <w:pPr>
              <w:jc w:val="right"/>
              <w:bidi/>
            </w:pPr>
            <w:r/>
            <w:r>
              <w:rPr>
                <w:sz w:val="18"/>
              </w:rPr>
              <w:t>النموذج الذي تقترحه على الوزير حرفياً: هيئة وطنية + اعتماد عبر Accredia/RvA. المغرب أمامك بـ 18 شهراً.</w:t>
            </w:r>
          </w:p>
        </w:tc>
      </w:tr>
      <w:tr>
        <w:tc>
          <w:tcPr>
            <w:tcW w:type="dxa" w:w="1134"/>
          </w:tcPr>
          <w:p>
            <w:pPr>
              <w:jc w:val="right"/>
              <w:bidi/>
            </w:pPr>
            <w:r/>
            <w:r>
              <w:rPr>
                <w:sz w:val="18"/>
              </w:rPr>
              <w:t>تركيا</w:t>
            </w:r>
          </w:p>
        </w:tc>
        <w:tc>
          <w:tcPr>
            <w:tcW w:type="dxa" w:w="3005"/>
          </w:tcPr>
          <w:p>
            <w:pPr>
              <w:jc w:val="right"/>
              <w:bidi/>
            </w:pPr>
            <w:r/>
            <w:r>
              <w:rPr>
                <w:sz w:val="18"/>
              </w:rPr>
              <w:t>TSE (معهد المواصفات) يقدّم تحقق CBAM؛ AURA ممثل Eurocert؛ TÜRKAK يبني "حوض محققين وطني".</w:t>
            </w:r>
          </w:p>
        </w:tc>
        <w:tc>
          <w:tcPr>
            <w:tcW w:type="dxa" w:w="2494"/>
          </w:tcPr>
          <w:p>
            <w:pPr>
              <w:jc w:val="right"/>
              <w:bidi/>
            </w:pPr>
            <w:r/>
            <w:r>
              <w:rPr>
                <w:sz w:val="18"/>
              </w:rPr>
              <w:t>—</w:t>
            </w:r>
          </w:p>
        </w:tc>
        <w:tc>
          <w:tcPr>
            <w:tcW w:type="dxa" w:w="2721"/>
          </w:tcPr>
          <w:p>
            <w:pPr>
              <w:jc w:val="right"/>
              <w:bidi/>
            </w:pPr>
            <w:r/>
            <w:r>
              <w:rPr>
                <w:sz w:val="18"/>
              </w:rPr>
              <w:t>Tosyalı ستستورد محققها من تركيا. لا تضيّع وقتك على Tosyalı قبل 2028.</w:t>
            </w:r>
          </w:p>
        </w:tc>
      </w:tr>
      <w:tr>
        <w:tc>
          <w:tcPr>
            <w:tcW w:type="dxa" w:w="1134"/>
          </w:tcPr>
          <w:p>
            <w:pPr>
              <w:jc w:val="right"/>
              <w:bidi/>
            </w:pPr>
            <w:r/>
            <w:r>
              <w:rPr>
                <w:sz w:val="18"/>
              </w:rPr>
              <w:t>مصر</w:t>
            </w:r>
          </w:p>
        </w:tc>
        <w:tc>
          <w:tcPr>
            <w:tcW w:type="dxa" w:w="3005"/>
          </w:tcPr>
          <w:p>
            <w:pPr>
              <w:jc w:val="right"/>
              <w:bidi/>
            </w:pPr>
            <w:r/>
            <w:r>
              <w:rPr>
                <w:sz w:val="18"/>
              </w:rPr>
              <w:t>4 هيئات ISO 14065 مدرجة؛ BV Egypt معتمدة EGAC؛ Fertiglobe (مالكة Sorfert) مصرية-إماراتية.</w:t>
            </w:r>
          </w:p>
        </w:tc>
        <w:tc>
          <w:tcPr>
            <w:tcW w:type="dxa" w:w="2494"/>
          </w:tcPr>
          <w:p>
            <w:pPr>
              <w:jc w:val="right"/>
              <w:bidi/>
            </w:pPr>
            <w:r/>
            <w:r>
              <w:rPr>
                <w:sz w:val="18"/>
              </w:rPr>
              <w:t>—</w:t>
            </w:r>
          </w:p>
        </w:tc>
        <w:tc>
          <w:tcPr>
            <w:tcW w:type="dxa" w:w="2721"/>
          </w:tcPr>
          <w:p>
            <w:pPr>
              <w:jc w:val="right"/>
              <w:bidi/>
            </w:pPr>
            <w:r/>
            <w:r>
              <w:rPr>
                <w:sz w:val="18"/>
              </w:rPr>
              <w:t>Sorfert ستُدار من القاهرة/أبوظبي. نفس الملاحظة.</w:t>
            </w:r>
          </w:p>
        </w:tc>
      </w:tr>
      <w:tr>
        <w:tc>
          <w:tcPr>
            <w:tcW w:type="dxa" w:w="1134"/>
          </w:tcPr>
          <w:p>
            <w:pPr>
              <w:jc w:val="right"/>
              <w:bidi/>
            </w:pPr>
            <w:r/>
            <w:r>
              <w:rPr>
                <w:sz w:val="18"/>
              </w:rPr>
              <w:t>تونس</w:t>
            </w:r>
          </w:p>
        </w:tc>
        <w:tc>
          <w:tcPr>
            <w:tcW w:type="dxa" w:w="3005"/>
          </w:tcPr>
          <w:p>
            <w:pPr>
              <w:jc w:val="right"/>
              <w:bidi/>
            </w:pPr>
            <w:r/>
            <w:r>
              <w:rPr>
                <w:sz w:val="18"/>
              </w:rPr>
              <w:t>virCBAM وSGS Tunisie؛ لا هيئة وطنية.</w:t>
            </w:r>
          </w:p>
        </w:tc>
        <w:tc>
          <w:tcPr>
            <w:tcW w:type="dxa" w:w="2494"/>
          </w:tcPr>
          <w:p>
            <w:pPr>
              <w:jc w:val="right"/>
              <w:bidi/>
            </w:pPr>
            <w:r/>
            <w:r>
              <w:rPr>
                <w:sz w:val="18"/>
              </w:rPr>
              <w:t>—</w:t>
            </w:r>
          </w:p>
        </w:tc>
        <w:tc>
          <w:tcPr>
            <w:tcW w:type="dxa" w:w="2721"/>
          </w:tcPr>
          <w:p>
            <w:pPr>
              <w:jc w:val="right"/>
              <w:bidi/>
            </w:pPr>
            <w:r/>
            <w:r>
              <w:rPr>
                <w:sz w:val="18"/>
              </w:rPr>
              <w:t>نفس مرحلة الجزائر — شريك إقليمي محتمل لـ"أكاديمية مدققين مغاربية".</w:t>
            </w:r>
          </w:p>
        </w:tc>
      </w:tr>
    </w:tbl>
    <w:p/>
    <w:p>
      <w:pPr>
        <w:pStyle w:val="Heading1"/>
        <w:jc w:val="right"/>
        <w:bidi/>
      </w:pPr>
      <w:r>
        <w:rPr>
          <w:color w:val="A01E1E"/>
        </w:rPr>
        <w:t>5. ماذا يعني هذا لترتيب خطواتك</w:t>
      </w:r>
    </w:p>
    <w:p>
      <w:pPr>
        <w:pStyle w:val="ListBullet"/>
        <w:jc w:val="right"/>
        <w:bidi/>
      </w:pPr>
      <w:r>
        <w:rPr>
          <w:b/>
        </w:rPr>
        <w:t xml:space="preserve">أولاً — </w:t>
      </w:r>
      <w:r>
        <w:t>لا تكتب لوزير اقتصاد المعرفة قبل أن تقرأ توصيات مؤتمر TaqatHy+ (اطلبها من GIZ الجزائر بإيميل رسمي من الجامعة). مذكرتك يجب أن تبدأ بـ: "En prolongement des recommandations de la conférence UE–Algérie sur le CBAM (16–17 février 2026)…".</w:t>
      </w:r>
    </w:p>
    <w:p>
      <w:pPr>
        <w:pStyle w:val="ListBullet"/>
        <w:jc w:val="right"/>
        <w:bidi/>
      </w:pPr>
      <w:r>
        <w:rPr>
          <w:b/>
        </w:rPr>
        <w:t xml:space="preserve">ثانياً — </w:t>
      </w:r>
      <w:r>
        <w:t>افتح اليوم قناة موازية مع SGS Algérie (الأبيار) بنفس صيغة الإيميل الموجّه لأنطون، مع تعديل: أنت تعرض "شبكة مدققين محليين مؤهلين" لا شراكة إحالة.</w:t>
      </w:r>
    </w:p>
    <w:p>
      <w:pPr>
        <w:pStyle w:val="ListBullet"/>
        <w:jc w:val="right"/>
        <w:bidi/>
      </w:pPr>
      <w:r>
        <w:rPr>
          <w:b/>
        </w:rPr>
        <w:t xml:space="preserve">ثالثاً — </w:t>
      </w:r>
      <w:r>
        <w:t>اتصل بـ virCBAM (hello@viresg.com) لمعرفة إن كانوا يبحثون عن شريك جزائري — قد يكون أسرع من بناء startup من الصفر، ولا يمنعك من تسجيل شركتك.</w:t>
      </w:r>
    </w:p>
    <w:p>
      <w:pPr>
        <w:pStyle w:val="ListBullet"/>
        <w:jc w:val="right"/>
        <w:bidi/>
      </w:pPr>
      <w:r>
        <w:rPr>
          <w:b/>
        </w:rPr>
        <w:t xml:space="preserve">رابعاً — </w:t>
      </w:r>
      <w:r>
        <w:t>أعِد صياغة السؤال لأنطون: بعد الاعتماد والقضية، أضف: "Who in Green and Fair would sign the agreement — Ms Kitipova as head of the verification body? And are you an employee or an external partner?"</w:t>
      </w:r>
    </w:p>
    <w:p>
      <w:pPr>
        <w:pStyle w:val="ListBullet"/>
        <w:jc w:val="right"/>
        <w:bidi/>
      </w:pPr>
      <w:r>
        <w:rPr>
          <w:b/>
        </w:rPr>
        <w:t xml:space="preserve">خامساً — </w:t>
      </w:r>
      <w:r>
        <w:t>استهدف Fertial وALSOLB وECDE فقط في 2026–2027. Tosyalı وSorfert وAOA ستأتي بمحققيها من الخارج.</w:t>
      </w:r>
    </w:p>
    <w:p>
      <w:pPr>
        <w:jc w:val="right"/>
        <w:bidi/>
      </w:pPr>
      <w:r>
        <w:rPr>
          <w:b w:val="0"/>
          <w:i w:val="0"/>
        </w:rPr>
        <w:t xml:space="preserve"> </w:t>
      </w:r>
    </w:p>
    <w:p>
      <w:pPr>
        <w:jc w:val="right"/>
        <w:bidi/>
      </w:pPr>
      <w:r>
        <w:rPr>
          <w:b w:val="0"/>
          <w:i w:val="0"/>
          <w:color w:val="555555"/>
          <w:sz w:val="15"/>
        </w:rPr>
        <w:t>المصادر: eea.government.bg (قائمة المحققين وقائمة أفراد G&amp;F، يناير–مارس 2026) · taxation-customs.ec.europa.eu State-of-play CBAM accreditation (07/2026) · cbamguide.com (08/2026) · gmk.center (07/2026) · eeas.europa.eu/delegations/algeria (02/2026) · ecotimesdz.com 21/02/2026 · lalgerieaujourdhui.dz 18/02/2026 · taqathyplus.org · ptx-hub.org (06/2026) · alger16.dz / journal-lanation.com 04/2025 · fnh.ma 27/07/2026 (IMANOR) · sgs.com (fr-ma) · bureauveritas.fr · tuv.com · rina.org · emicert.com · seragazidogrulama.com (AURA/Eurocert) · tse.org.tr · liners.com/vircbam · danem-test.com · standards.iteh.ai.</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