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555555"/>
          <w:sz w:val="20"/>
        </w:rPr>
        <w:t>NOTE DE CONCEPT — À L’ATTENTION DE MONSIEUR LE MINISTRE</w:t>
      </w:r>
    </w:p>
    <w:p>
      <w:pPr>
        <w:spacing w:after="200"/>
      </w:pPr>
      <w:r>
        <w:rPr>
          <w:b w:val="0"/>
          <w:i w:val="0"/>
          <w:color w:val="555555"/>
          <w:sz w:val="20"/>
        </w:rPr>
        <w:t>Économie de la Connaissance, Start-up et Micro-entreprises</w:t>
      </w:r>
    </w:p>
    <w:p>
      <w:pPr>
        <w:spacing w:after="0"/>
      </w:pPr>
      <w:r>
        <w:rPr>
          <w:b/>
          <w:i w:val="0"/>
          <w:color w:val="B01C1C"/>
          <w:sz w:val="36"/>
        </w:rPr>
        <w:t>LA TAXE CARBONE EUROPÉENNE EST DÉJÀ EN VIGUEUR.</w:t>
      </w:r>
    </w:p>
    <w:p>
      <w:pPr>
        <w:spacing w:after="120"/>
      </w:pPr>
      <w:r>
        <w:rPr>
          <w:b/>
          <w:i w:val="0"/>
          <w:color w:val="0B2A4A"/>
          <w:sz w:val="30"/>
        </w:rPr>
        <w:t>L’Algérie n’a aucun vérificateur, aucune accréditation, aucun programme.</w:t>
      </w:r>
    </w:p>
    <w:p>
      <w:pPr>
        <w:spacing w:after="40"/>
      </w:pPr>
      <w:r>
        <w:rPr>
          <w:b w:val="0"/>
          <w:i/>
          <w:color w:val="555555"/>
          <w:sz w:val="22"/>
        </w:rPr>
        <w:t>Programme national de préparation au MACF (CBAM) : capacité souveraine de mesure et de vérification carbone — par la voie des start-up, de l’université et d’un partenariat européen accrédité.</w:t>
      </w:r>
    </w:p>
    <w:p>
      <w:pPr>
        <w:spacing w:after="200"/>
      </w:pPr>
      <w:r>
        <w:rPr>
          <w:b w:val="0"/>
          <w:i w:val="0"/>
          <w:color w:val="555555"/>
          <w:sz w:val="18"/>
        </w:rPr>
        <w:t>Porteur : Houssam Benmerah, Université d’El Tarf — Septembre 2026 — Lecture : 4 minutes</w:t>
      </w:r>
    </w:p>
    <w:p>
      <w:pPr>
        <w:spacing w:before="200" w:after="80"/>
      </w:pPr>
      <w:r>
        <w:rPr>
          <w:b/>
          <w:color w:val="0B2A4A"/>
          <w:sz w:val="26"/>
        </w:rPr>
        <w:t>1. Trois faits que personne n’a encore posés sur votre bureau</w:t>
      </w:r>
    </w:p>
    <w:p>
      <w:pPr>
        <w:pStyle w:val="ListBullet"/>
        <w:spacing w:after="40"/>
      </w:pPr>
      <w:r>
        <w:rPr>
          <w:b/>
        </w:rPr>
        <w:t>Fait n°1 — Le régime définitif est actif.</w:t>
      </w:r>
      <w:r>
        <w:t xml:space="preserve"> Depuis le 1er janvier 2026, chaque tonne d’engrais, d’acier ou de clinker algérien entrant dans l’UE porte un coût carbone. Les premiers paiements sont exigibles en 2027 (déclaration au 30 septembre 2027 sur les importations 2026). Ce n’est plus une perspective : c’est un compteur qui tourne.</w:t>
      </w:r>
    </w:p>
    <w:p>
      <w:pPr>
        <w:pStyle w:val="ListBullet"/>
        <w:spacing w:after="40"/>
      </w:pPr>
      <w:r>
        <w:rPr>
          <w:b/>
        </w:rPr>
        <w:t>Fait n°2 — Nos exportations hors hydrocarbures sont les plus exposées d’Afrique.</w:t>
      </w:r>
      <w:r>
        <w:t xml:space="preserve"> L’UE absorbe 68 % des exportations algériennes. Les trois produits phares hors hydrocarbures — engrais (1,47 Md$ en 2025, +56 %), sidérurgie (0,99 Md$, +41 %), clinker/ciment (~0,75 Md$) — sont précisément les trois premiers secteurs couverts par le MACF. Environ 3,2 Md$ d’exportations, soit près des deux tiers du hors-hydrocarbures, sont directement exposés.</w:t>
      </w:r>
    </w:p>
    <w:p>
      <w:pPr>
        <w:pStyle w:val="ListBullet"/>
        <w:spacing w:after="40"/>
      </w:pPr>
      <w:r>
        <w:rPr>
          <w:b/>
        </w:rPr>
        <w:t>Fait n°3 — Nous sommes le seul grand exportateur méditerranéen sans aucune capacité de vérification.</w:t>
      </w:r>
      <w:r>
        <w:t xml:space="preserve"> Aucun organisme algérien n’est accrédité ISO 14065 (ALGERAC n’a pas ce périmètre). Aucun grand vérificateur européen n’a de bureau GES en Algérie (leurs filiales locales font de l’inspection et de la certification ISO classique). L’Égypte compte 4 organismes accrédités ISO 14065 et un vivier d’auditeurs que les vérificateurs européens recrutent déjà ; le Maroc a voté une loi (2025) confiant à l’IMANOR un mandat carbone — sans capacité de vérification MACF effective à ce jour, mais avec une position affirmée face à Bruxelles. L’Algérie : ni cadre, ni auditeurs, ni discours.</w:t>
      </w:r>
    </w:p>
    <w:tbl>
      <w:tblPr>
        <w:tblW w:type="auto" w:w="0"/>
        <w:jc w:val="center"/>
        <w:tblLook w:firstColumn="1" w:firstRow="1" w:lastColumn="0" w:lastRow="0" w:noHBand="0" w:noVBand="1" w:val="04A0"/>
      </w:tblPr>
      <w:tblGrid>
        <w:gridCol w:w="9972"/>
      </w:tblGrid>
      <w:tr>
        <w:tc>
          <w:tcPr>
            <w:tcW w:type="dxa" w:w="9638"/>
            <w:shd w:val="clear" w:color="auto" w:fill="FFF4E5"/>
          </w:tcPr>
          <w:p>
            <w:r/>
            <w:r>
              <w:rPr>
                <w:b/>
                <w:color w:val="B01C1C"/>
                <w:sz w:val="22"/>
              </w:rPr>
              <w:t>Conséquence mécanique : sans vérification, nos exportateurs sont taxés sur des « valeurs par défaut » majorées — +10 % en 2026, +20 % en 2027, +30 % à partir de 2028 pour l’acier et le ciment (+1 % pour les engrais) — sans aucune déduction, car l’Algérie n’a pas de prix carbone national reconnu. Ce n’est pas une perte d’exportations : c’est une hémorragie de marge, captée par les importateurs européens sous forme de rabais, sur des émissions que nous n’avons pas émises.</w:t>
            </w:r>
          </w:p>
        </w:tc>
      </w:tr>
    </w:tbl>
    <w:p>
      <w:pPr>
        <w:spacing w:after="40"/>
      </w:pPr>
    </w:p>
    <w:p>
      <w:pPr>
        <w:spacing w:before="200" w:after="80"/>
      </w:pPr>
      <w:r>
        <w:rPr>
          <w:b/>
          <w:color w:val="0B2A4A"/>
          <w:sz w:val="26"/>
        </w:rPr>
        <w:t>2. Ce que cela coûte — en chiffres, pas en adjectifs</w:t>
      </w:r>
    </w:p>
    <w:p>
      <w:pPr>
        <w:spacing w:after="80"/>
      </w:pPr>
      <w:r>
        <w:rPr>
          <w:b w:val="0"/>
          <w:i w:val="0"/>
          <w:color w:val="555555"/>
          <w:sz w:val="19"/>
        </w:rPr>
        <w:t>Valeurs par défaut publiées par la Commission européenne (IR (UE) 2025/2621) pour l’Algérie, appliquées aux volumes 2025 estimés. Prix ETS retenu : 75 €/t CO₂ (moyenne prudente).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474"/>
            <w:shd w:val="clear" w:color="auto" w:fill="0B2A4A"/>
          </w:tcPr>
          <w:p>
            <w:r/>
            <w:r>
              <w:rPr>
                <w:b/>
                <w:color w:val="FFFFFF"/>
                <w:sz w:val="18"/>
              </w:rPr>
              <w:t>Produit</w:t>
            </w:r>
          </w:p>
        </w:tc>
        <w:tc>
          <w:tcPr>
            <w:tcW w:type="dxa" w:w="1928"/>
            <w:shd w:val="clear" w:color="auto" w:fill="0B2A4A"/>
          </w:tcPr>
          <w:p>
            <w:r/>
            <w:r>
              <w:rPr>
                <w:b/>
                <w:color w:val="FFFFFF"/>
                <w:sz w:val="18"/>
              </w:rPr>
              <w:t>Défaut UE pour l’Algérie</w:t>
            </w:r>
          </w:p>
        </w:tc>
        <w:tc>
          <w:tcPr>
            <w:tcW w:type="dxa" w:w="2041"/>
            <w:shd w:val="clear" w:color="auto" w:fill="0B2A4A"/>
          </w:tcPr>
          <w:p>
            <w:r/>
            <w:r>
              <w:rPr>
                <w:b/>
                <w:color w:val="FFFFFF"/>
                <w:sz w:val="18"/>
              </w:rPr>
              <w:t>Réel estimé (technologie algérienne)</w:t>
            </w:r>
          </w:p>
        </w:tc>
        <w:tc>
          <w:tcPr>
            <w:tcW w:type="dxa" w:w="907"/>
            <w:shd w:val="clear" w:color="auto" w:fill="0B2A4A"/>
          </w:tcPr>
          <w:p>
            <w:r/>
            <w:r>
              <w:rPr>
                <w:b/>
                <w:color w:val="FFFFFF"/>
                <w:sz w:val="18"/>
              </w:rPr>
              <w:t>Écart</w:t>
            </w:r>
          </w:p>
        </w:tc>
        <w:tc>
          <w:tcPr>
            <w:tcW w:type="dxa" w:w="1247"/>
            <w:shd w:val="clear" w:color="auto" w:fill="0B2A4A"/>
          </w:tcPr>
          <w:p>
            <w:r/>
            <w:r>
              <w:rPr>
                <w:b/>
                <w:color w:val="FFFFFF"/>
                <w:sz w:val="18"/>
              </w:rPr>
              <w:t>Volume vers l’UE (est.)</w:t>
            </w:r>
          </w:p>
        </w:tc>
        <w:tc>
          <w:tcPr>
            <w:tcW w:type="dxa" w:w="1474"/>
            <w:shd w:val="clear" w:color="auto" w:fill="0B2A4A"/>
          </w:tcPr>
          <w:p>
            <w:r/>
            <w:r>
              <w:rPr>
                <w:b/>
                <w:color w:val="FFFFFF"/>
                <w:sz w:val="18"/>
              </w:rPr>
              <w:t>Surcoût annuel évitable</w:t>
            </w:r>
          </w:p>
        </w:tc>
      </w:tr>
      <w:tr>
        <w:tc>
          <w:tcPr>
            <w:tcW w:type="dxa" w:w="1474"/>
          </w:tcPr>
          <w:p>
            <w:r/>
            <w:r>
              <w:rPr>
                <w:sz w:val="18"/>
              </w:rPr>
              <w:t>Ammoniac</w:t>
            </w:r>
          </w:p>
        </w:tc>
        <w:tc>
          <w:tcPr>
            <w:tcW w:type="dxa" w:w="1928"/>
          </w:tcPr>
          <w:p>
            <w:r/>
            <w:r>
              <w:rPr>
                <w:sz w:val="18"/>
              </w:rPr>
              <w:t>2,10 t CO₂/t (défaut 2026, Argus) — majoration engrais : +1 % seulement</w:t>
            </w:r>
          </w:p>
        </w:tc>
        <w:tc>
          <w:tcPr>
            <w:tcW w:type="dxa" w:w="2041"/>
          </w:tcPr>
          <w:p>
            <w:r/>
            <w:r>
              <w:rPr>
                <w:sz w:val="18"/>
              </w:rPr>
              <w:t>1,7–1,9 (vaporeformage gaz récent)</w:t>
            </w:r>
          </w:p>
        </w:tc>
        <w:tc>
          <w:tcPr>
            <w:tcW w:type="dxa" w:w="907"/>
          </w:tcPr>
          <w:p>
            <w:r/>
            <w:r>
              <w:rPr>
                <w:sz w:val="18"/>
              </w:rPr>
              <w:t>0,2–0,4</w:t>
            </w:r>
          </w:p>
        </w:tc>
        <w:tc>
          <w:tcPr>
            <w:tcW w:type="dxa" w:w="1247"/>
          </w:tcPr>
          <w:p>
            <w:r/>
            <w:r>
              <w:rPr>
                <w:sz w:val="18"/>
              </w:rPr>
              <w:t>~1,0 Mt</w:t>
            </w:r>
          </w:p>
        </w:tc>
        <w:tc>
          <w:tcPr>
            <w:tcW w:type="dxa" w:w="1474"/>
          </w:tcPr>
          <w:p>
            <w:r/>
            <w:r>
              <w:rPr>
                <w:sz w:val="18"/>
              </w:rPr>
              <w:t>15–30 M€</w:t>
            </w:r>
          </w:p>
        </w:tc>
      </w:tr>
      <w:tr>
        <w:tc>
          <w:tcPr>
            <w:tcW w:type="dxa" w:w="1474"/>
          </w:tcPr>
          <w:p>
            <w:r/>
            <w:r>
              <w:rPr>
                <w:sz w:val="18"/>
              </w:rPr>
              <w:t>Urée</w:t>
            </w:r>
          </w:p>
        </w:tc>
        <w:tc>
          <w:tcPr>
            <w:tcW w:type="dxa" w:w="1928"/>
          </w:tcPr>
          <w:p>
            <w:r/>
            <w:r>
              <w:rPr>
                <w:sz w:val="18"/>
              </w:rPr>
              <w:t>≈ 45 €/t de charge par défaut (Argus) — majoration +1 %</w:t>
            </w:r>
          </w:p>
        </w:tc>
        <w:tc>
          <w:tcPr>
            <w:tcW w:type="dxa" w:w="2041"/>
          </w:tcPr>
          <w:p>
            <w:r/>
            <w:r>
              <w:rPr>
                <w:sz w:val="18"/>
              </w:rPr>
              <w:t>Charge réelle ≈ 30–35 €/t</w:t>
            </w:r>
          </w:p>
        </w:tc>
        <w:tc>
          <w:tcPr>
            <w:tcW w:type="dxa" w:w="907"/>
          </w:tcPr>
          <w:p>
            <w:r/>
            <w:r>
              <w:rPr>
                <w:sz w:val="18"/>
              </w:rPr>
              <w:t>≈ 10–15 €/t</w:t>
            </w:r>
          </w:p>
        </w:tc>
        <w:tc>
          <w:tcPr>
            <w:tcW w:type="dxa" w:w="1247"/>
          </w:tcPr>
          <w:p>
            <w:r/>
            <w:r>
              <w:rPr>
                <w:sz w:val="18"/>
              </w:rPr>
              <w:t>~2,5 Mt</w:t>
            </w:r>
          </w:p>
        </w:tc>
        <w:tc>
          <w:tcPr>
            <w:tcW w:type="dxa" w:w="1474"/>
          </w:tcPr>
          <w:p>
            <w:r/>
            <w:r>
              <w:rPr>
                <w:sz w:val="18"/>
              </w:rPr>
              <w:t>25–40 M€</w:t>
            </w:r>
          </w:p>
        </w:tc>
      </w:tr>
      <w:tr>
        <w:tc>
          <w:tcPr>
            <w:tcW w:type="dxa" w:w="1474"/>
          </w:tcPr>
          <w:p>
            <w:r/>
            <w:r>
              <w:rPr>
                <w:sz w:val="18"/>
              </w:rPr>
              <w:t>Acier long (EAF/DRI)</w:t>
            </w:r>
          </w:p>
        </w:tc>
        <w:tc>
          <w:tcPr>
            <w:tcW w:type="dxa" w:w="1928"/>
          </w:tcPr>
          <w:p>
            <w:r/>
            <w:r>
              <w:rPr>
                <w:sz w:val="18"/>
              </w:rPr>
              <w:t>Défaut UE ~2,0 t CO₂/t +10→30 %</w:t>
            </w:r>
          </w:p>
        </w:tc>
        <w:tc>
          <w:tcPr>
            <w:tcW w:type="dxa" w:w="2041"/>
          </w:tcPr>
          <w:p>
            <w:r/>
            <w:r>
              <w:rPr>
                <w:sz w:val="18"/>
              </w:rPr>
              <w:t>0,6–0,9 (four électrique + DRI gaz)</w:t>
            </w:r>
          </w:p>
        </w:tc>
        <w:tc>
          <w:tcPr>
            <w:tcW w:type="dxa" w:w="907"/>
          </w:tcPr>
          <w:p>
            <w:r/>
            <w:r>
              <w:rPr>
                <w:sz w:val="18"/>
              </w:rPr>
              <w:t>1,1–1,4</w:t>
            </w:r>
          </w:p>
        </w:tc>
        <w:tc>
          <w:tcPr>
            <w:tcW w:type="dxa" w:w="1247"/>
          </w:tcPr>
          <w:p>
            <w:r/>
            <w:r>
              <w:rPr>
                <w:sz w:val="18"/>
              </w:rPr>
              <w:t>~1,0 Mt</w:t>
            </w:r>
          </w:p>
        </w:tc>
        <w:tc>
          <w:tcPr>
            <w:tcW w:type="dxa" w:w="1474"/>
          </w:tcPr>
          <w:p>
            <w:r/>
            <w:r>
              <w:rPr>
                <w:sz w:val="18"/>
              </w:rPr>
              <w:t>80–105 M€</w:t>
            </w:r>
          </w:p>
        </w:tc>
      </w:tr>
      <w:tr>
        <w:tc>
          <w:tcPr>
            <w:tcW w:type="dxa" w:w="1474"/>
          </w:tcPr>
          <w:p>
            <w:r/>
            <w:r>
              <w:rPr>
                <w:sz w:val="18"/>
              </w:rPr>
              <w:t>Clinker</w:t>
            </w:r>
          </w:p>
        </w:tc>
        <w:tc>
          <w:tcPr>
            <w:tcW w:type="dxa" w:w="1928"/>
          </w:tcPr>
          <w:p>
            <w:r/>
            <w:r>
              <w:rPr>
                <w:sz w:val="18"/>
              </w:rPr>
              <w:t>0,96 t CO₂/t +10→30 %</w:t>
            </w:r>
          </w:p>
        </w:tc>
        <w:tc>
          <w:tcPr>
            <w:tcW w:type="dxa" w:w="2041"/>
          </w:tcPr>
          <w:p>
            <w:r/>
            <w:r>
              <w:rPr>
                <w:sz w:val="18"/>
              </w:rPr>
              <w:t>0,80–0,85 (fours secs modernes)</w:t>
            </w:r>
          </w:p>
        </w:tc>
        <w:tc>
          <w:tcPr>
            <w:tcW w:type="dxa" w:w="907"/>
          </w:tcPr>
          <w:p>
            <w:r/>
            <w:r>
              <w:rPr>
                <w:sz w:val="18"/>
              </w:rPr>
              <w:t>0,1–0,3</w:t>
            </w:r>
          </w:p>
        </w:tc>
        <w:tc>
          <w:tcPr>
            <w:tcW w:type="dxa" w:w="1247"/>
          </w:tcPr>
          <w:p>
            <w:r/>
            <w:r>
              <w:rPr>
                <w:sz w:val="18"/>
              </w:rPr>
              <w:t>~2,5 Mt</w:t>
            </w:r>
          </w:p>
        </w:tc>
        <w:tc>
          <w:tcPr>
            <w:tcW w:type="dxa" w:w="1474"/>
          </w:tcPr>
          <w:p>
            <w:r/>
            <w:r>
              <w:rPr>
                <w:sz w:val="18"/>
              </w:rPr>
              <w:t>20–55 M€</w:t>
            </w:r>
          </w:p>
        </w:tc>
      </w:tr>
    </w:tbl>
    <w:p>
      <w:pPr>
        <w:spacing w:after="40"/>
      </w:pPr>
    </w:p>
    <w:tbl>
      <w:tblPr>
        <w:tblW w:type="auto" w:w="0"/>
        <w:jc w:val="center"/>
        <w:tblLook w:firstColumn="1" w:firstRow="1" w:lastColumn="0" w:lastRow="0" w:noHBand="0" w:noVBand="1" w:val="04A0"/>
      </w:tblPr>
      <w:tblGrid>
        <w:gridCol w:w="9972"/>
      </w:tblGrid>
      <w:tr>
        <w:tc>
          <w:tcPr>
            <w:tcW w:type="dxa" w:w="9638"/>
            <w:shd w:val="clear" w:color="auto" w:fill="FDECEC"/>
          </w:tcPr>
          <w:p>
            <w:r/>
            <w:r>
              <w:rPr>
                <w:b/>
                <w:color w:val="B01C1C"/>
                <w:sz w:val="22"/>
              </w:rPr>
              <w:t>Ordre de grandeur : 140 à 230 millions d’euros par an de coût carbone évitable — dont près des trois quarts sur l’acier et le clinker, où l’écart entre défaut et réel est le plus large et où la majoration grimpe à +30 % en 2028. Payé aujourd’hui par nos exportateurs sous forme de rabais imposés par leurs acheteurs européens, ou perdu en parts de marché. Le coût total d’un programme national de vérification représente moins de 1 % de cette somme.</w:t>
            </w:r>
          </w:p>
        </w:tc>
      </w:tr>
    </w:tbl>
    <w:p>
      <w:pPr>
        <w:spacing w:after="40"/>
      </w:pPr>
    </w:p>
    <w:p>
      <w:pPr>
        <w:spacing w:after="80"/>
      </w:pPr>
      <w:r>
        <w:rPr>
          <w:b w:val="0"/>
          <w:i w:val="0"/>
          <w:sz w:val="20"/>
        </w:rPr>
        <w:t>Et l’acier algérien est, paradoxalement, notre meilleur atout : produit au gaz par four électrique, il est parmi les moins carbonés du bassin méditerranéen. Sans vérification, cet avantage n’existe pas aux yeux de Bruxelles. Avec vérification, il devient un argument commercial décisif face à la Turquie, l’Inde et la Chine — les acheteurs italiens le réclament déjà.</w:t>
      </w:r>
    </w:p>
    <w:p>
      <w:pPr>
        <w:spacing w:before="200" w:after="80"/>
      </w:pPr>
      <w:r>
        <w:rPr>
          <w:b/>
          <w:color w:val="0B2A4A"/>
          <w:sz w:val="26"/>
        </w:rPr>
        <w:t>3. La fenêtre se ferme en 12 mois</w:t>
      </w:r>
    </w:p>
    <w:tbl>
      <w:tblPr>
        <w:tblStyle w:val="TableGrid"/>
        <w:tblW w:type="auto" w:w="0"/>
        <w:jc w:val="center"/>
        <w:tblLook w:firstColumn="1" w:firstRow="1" w:lastColumn="0" w:lastRow="0" w:noHBand="0" w:noVBand="1" w:val="04A0"/>
      </w:tblPr>
      <w:tblGrid>
        <w:gridCol w:w="3324"/>
        <w:gridCol w:w="3324"/>
        <w:gridCol w:w="3324"/>
      </w:tblGrid>
      <w:tr>
        <w:tc>
          <w:tcPr>
            <w:tcW w:type="dxa" w:w="1474"/>
            <w:shd w:val="clear" w:color="auto" w:fill="0B2A4A"/>
          </w:tcPr>
          <w:p>
            <w:r/>
            <w:r>
              <w:rPr>
                <w:b/>
                <w:color w:val="FFFFFF"/>
                <w:sz w:val="18"/>
              </w:rPr>
              <w:t>Date</w:t>
            </w:r>
          </w:p>
        </w:tc>
        <w:tc>
          <w:tcPr>
            <w:tcW w:type="dxa" w:w="4082"/>
            <w:shd w:val="clear" w:color="auto" w:fill="0B2A4A"/>
          </w:tcPr>
          <w:p>
            <w:r/>
            <w:r>
              <w:rPr>
                <w:b/>
                <w:color w:val="FFFFFF"/>
                <w:sz w:val="18"/>
              </w:rPr>
              <w:t>Événement</w:t>
            </w:r>
          </w:p>
        </w:tc>
        <w:tc>
          <w:tcPr>
            <w:tcW w:type="dxa" w:w="4082"/>
            <w:shd w:val="clear" w:color="auto" w:fill="0B2A4A"/>
          </w:tcPr>
          <w:p>
            <w:r/>
            <w:r>
              <w:rPr>
                <w:b/>
                <w:color w:val="FFFFFF"/>
                <w:sz w:val="18"/>
              </w:rPr>
              <w:t>Ce que cela implique pour l’Algérie</w:t>
            </w:r>
          </w:p>
        </w:tc>
      </w:tr>
      <w:tr>
        <w:tc>
          <w:tcPr>
            <w:tcW w:type="dxa" w:w="1474"/>
          </w:tcPr>
          <w:p>
            <w:r/>
            <w:r>
              <w:rPr>
                <w:sz w:val="18"/>
              </w:rPr>
              <w:t>Sept.–oct. 2026</w:t>
            </w:r>
          </w:p>
        </w:tc>
        <w:tc>
          <w:tcPr>
            <w:tcW w:type="dxa" w:w="4082"/>
          </w:tcPr>
          <w:p>
            <w:r/>
            <w:r>
              <w:rPr>
                <w:sz w:val="18"/>
              </w:rPr>
              <w:t>Premiers vérificateurs MACF accrédités dans l’UE ; ouverture du registre aux vérificateurs</w:t>
            </w:r>
          </w:p>
        </w:tc>
        <w:tc>
          <w:tcPr>
            <w:tcW w:type="dxa" w:w="4082"/>
          </w:tcPr>
          <w:p>
            <w:r/>
            <w:r>
              <w:rPr>
                <w:sz w:val="18"/>
              </w:rPr>
              <w:t>Les vérificateurs choisissent MAINTENANT les pays où ils déploient des équipes</w:t>
            </w:r>
          </w:p>
        </w:tc>
      </w:tr>
      <w:tr>
        <w:tc>
          <w:tcPr>
            <w:tcW w:type="dxa" w:w="1474"/>
            <w:shd w:val="clear" w:color="auto" w:fill="FDECEC"/>
          </w:tcPr>
          <w:p>
            <w:r/>
            <w:r>
              <w:rPr>
                <w:b/>
                <w:sz w:val="18"/>
              </w:rPr>
              <w:t>Janv.–sept. 2027</w:t>
            </w:r>
          </w:p>
        </w:tc>
        <w:tc>
          <w:tcPr>
            <w:tcW w:type="dxa" w:w="4082"/>
            <w:shd w:val="clear" w:color="auto" w:fill="FDECEC"/>
          </w:tcPr>
          <w:p>
            <w:r/>
            <w:r>
              <w:rPr>
                <w:b/>
                <w:sz w:val="18"/>
              </w:rPr>
              <w:t>Première campagne de vérification. Visite physique OBLIGATOIRE de chaque usine, sans exception la première année</w:t>
            </w:r>
          </w:p>
        </w:tc>
        <w:tc>
          <w:tcPr>
            <w:tcW w:type="dxa" w:w="4082"/>
            <w:shd w:val="clear" w:color="auto" w:fill="FDECEC"/>
          </w:tcPr>
          <w:p>
            <w:r/>
            <w:r>
              <w:rPr>
                <w:b/>
                <w:sz w:val="18"/>
              </w:rPr>
              <w:t>Quelques dizaines d’usines algériennes à visiter en 9 mois — sans aucun auditeur local formé</w:t>
            </w:r>
          </w:p>
        </w:tc>
      </w:tr>
      <w:tr>
        <w:tc>
          <w:tcPr>
            <w:tcW w:type="dxa" w:w="1474"/>
          </w:tcPr>
          <w:p>
            <w:r/>
            <w:r>
              <w:rPr>
                <w:sz w:val="18"/>
              </w:rPr>
              <w:t>30 sept. 2027</w:t>
            </w:r>
          </w:p>
        </w:tc>
        <w:tc>
          <w:tcPr>
            <w:tcW w:type="dxa" w:w="4082"/>
          </w:tcPr>
          <w:p>
            <w:r/>
            <w:r>
              <w:rPr>
                <w:sz w:val="18"/>
              </w:rPr>
              <w:t>Première déclaration MACF des importateurs européens</w:t>
            </w:r>
          </w:p>
        </w:tc>
        <w:tc>
          <w:tcPr>
            <w:tcW w:type="dxa" w:w="4082"/>
          </w:tcPr>
          <w:p>
            <w:r/>
            <w:r>
              <w:rPr>
                <w:sz w:val="18"/>
              </w:rPr>
              <w:t>Tout exportateur non vérifié à cette date paie le défaut majoré</w:t>
            </w:r>
          </w:p>
        </w:tc>
      </w:tr>
      <w:tr>
        <w:tc>
          <w:tcPr>
            <w:tcW w:type="dxa" w:w="1474"/>
          </w:tcPr>
          <w:p>
            <w:r/>
            <w:r>
              <w:rPr>
                <w:sz w:val="18"/>
              </w:rPr>
              <w:t>2028</w:t>
            </w:r>
          </w:p>
        </w:tc>
        <w:tc>
          <w:tcPr>
            <w:tcW w:type="dxa" w:w="4082"/>
          </w:tcPr>
          <w:p>
            <w:r/>
            <w:r>
              <w:rPr>
                <w:sz w:val="18"/>
              </w:rPr>
              <w:t>Majoration à +30 % ; extension proposée à ~180 produits aval (COM(2025)989)</w:t>
            </w:r>
          </w:p>
        </w:tc>
        <w:tc>
          <w:tcPr>
            <w:tcW w:type="dxa" w:w="4082"/>
          </w:tcPr>
          <w:p>
            <w:r/>
            <w:r>
              <w:rPr>
                <w:sz w:val="18"/>
              </w:rPr>
              <w:t>L’exposition s’étend au-delà des trois secteurs actuels</w:t>
            </w:r>
          </w:p>
        </w:tc>
      </w:tr>
    </w:tbl>
    <w:p>
      <w:pPr>
        <w:spacing w:after="40"/>
      </w:pPr>
    </w:p>
    <w:p>
      <w:pPr>
        <w:spacing w:after="80"/>
      </w:pPr>
      <w:r>
        <w:rPr>
          <w:b/>
          <w:i w:val="0"/>
          <w:color w:val="B01C1C"/>
          <w:sz w:val="21"/>
        </w:rPr>
        <w:t>Si l’Algérie ne dispose pas d’auditeurs formés et d’un partenaire accrédité opérationnel avant janvier 2027, la première campagne se fera sans nous — et les rabais négociés en 2027 fixeront les prix pour des années.</w:t>
      </w:r>
    </w:p>
    <w:p>
      <w:pPr>
        <w:spacing w:before="200" w:after="80"/>
      </w:pPr>
      <w:r>
        <w:rPr>
          <w:b/>
          <w:color w:val="0B2A4A"/>
          <w:sz w:val="26"/>
        </w:rPr>
        <w:t>4. Le programme proposé — trois composantes, douze mois, zéro dépense budgétaire</w:t>
      </w:r>
    </w:p>
    <w:p>
      <w:pPr>
        <w:spacing w:after="80"/>
      </w:pPr>
      <w:r>
        <w:rPr>
          <w:b w:val="0"/>
          <w:i w:val="0"/>
          <w:sz w:val="20"/>
        </w:rPr>
        <w:t>Une architecture qui relève exactement du mandat de votre ministère : une start-up à impact, un transfert de compétences par l’université, une plateforme numérique, un partenariat international.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val="clear" w:color="auto" w:fill="0B2A4A"/>
          </w:tcPr>
          <w:p>
            <w:r/>
            <w:r>
              <w:rPr>
                <w:b/>
                <w:color w:val="FFFFFF"/>
                <w:sz w:val="18"/>
              </w:rPr>
              <w:t>Composante</w:t>
            </w:r>
          </w:p>
        </w:tc>
        <w:tc>
          <w:tcPr>
            <w:tcW w:type="dxa" w:w="3628"/>
            <w:shd w:val="clear" w:color="auto" w:fill="0B2A4A"/>
          </w:tcPr>
          <w:p>
            <w:r/>
            <w:r>
              <w:rPr>
                <w:b/>
                <w:color w:val="FFFFFF"/>
                <w:sz w:val="18"/>
              </w:rPr>
              <w:t>Contenu</w:t>
            </w:r>
          </w:p>
        </w:tc>
        <w:tc>
          <w:tcPr>
            <w:tcW w:type="dxa" w:w="2154"/>
            <w:shd w:val="clear" w:color="auto" w:fill="0B2A4A"/>
          </w:tcPr>
          <w:p>
            <w:r/>
            <w:r>
              <w:rPr>
                <w:b/>
                <w:color w:val="FFFFFF"/>
                <w:sz w:val="18"/>
              </w:rPr>
              <w:t>Livrable à 12 mois</w:t>
            </w:r>
          </w:p>
        </w:tc>
        <w:tc>
          <w:tcPr>
            <w:tcW w:type="dxa" w:w="2041"/>
            <w:shd w:val="clear" w:color="auto" w:fill="0B2A4A"/>
          </w:tcPr>
          <w:p>
            <w:r/>
            <w:r>
              <w:rPr>
                <w:b/>
                <w:color w:val="FFFFFF"/>
                <w:sz w:val="18"/>
              </w:rPr>
              <w:t>Rôle du Ministère</w:t>
            </w:r>
          </w:p>
        </w:tc>
      </w:tr>
      <w:tr>
        <w:tc>
          <w:tcPr>
            <w:tcW w:type="dxa" w:w="1814"/>
          </w:tcPr>
          <w:p>
            <w:r/>
            <w:r>
              <w:rPr>
                <w:sz w:val="18"/>
              </w:rPr>
              <w:t>① Start-up « MRV Carbone Algérie »</w:t>
            </w:r>
          </w:p>
        </w:tc>
        <w:tc>
          <w:tcPr>
            <w:tcW w:type="dxa" w:w="3628"/>
          </w:tcPr>
          <w:p>
            <w:r/>
            <w:r>
              <w:rPr>
                <w:sz w:val="18"/>
              </w:rPr>
              <w:t>Véhicule labellisé start-up : diagnostic de préparation MACF, collecte et structuration des données d’émissions, plateforme numérique de suivi installation → importateur. Opère sous supervision d’un organisme de vérification européen accrédité (partenaire identifié : Green and Fair JSC, Bulgarie, accrédité EU ETS depuis 2008, en cours d’extension MACF).</w:t>
            </w:r>
          </w:p>
        </w:tc>
        <w:tc>
          <w:tcPr>
            <w:tcW w:type="dxa" w:w="2154"/>
          </w:tcPr>
          <w:p>
            <w:r/>
            <w:r>
              <w:rPr>
                <w:sz w:val="18"/>
              </w:rPr>
              <w:t>≥ 8 installations exportatrices diagnostiquées ; ≥ 4 vérifications réalisées avec le partenaire ; plateforme opérationnelle</w:t>
            </w:r>
          </w:p>
        </w:tc>
        <w:tc>
          <w:tcPr>
            <w:tcW w:type="dxa" w:w="2041"/>
          </w:tcPr>
          <w:p>
            <w:r/>
            <w:r>
              <w:rPr>
                <w:sz w:val="18"/>
              </w:rPr>
              <w:t>Label start-up ; lettre de soutien ; introduction auprès de Sonatrach/Asmidal, GICA, SIDER, Tosyalı</w:t>
            </w:r>
          </w:p>
        </w:tc>
      </w:tr>
      <w:tr>
        <w:tc>
          <w:tcPr>
            <w:tcW w:type="dxa" w:w="1814"/>
          </w:tcPr>
          <w:p>
            <w:r/>
            <w:r>
              <w:rPr>
                <w:sz w:val="18"/>
              </w:rPr>
              <w:t>② Académie des auditeurs carbone</w:t>
            </w:r>
          </w:p>
        </w:tc>
        <w:tc>
          <w:tcPr>
            <w:tcW w:type="dxa" w:w="3628"/>
          </w:tcPr>
          <w:p>
            <w:r/>
            <w:r>
              <w:rPr>
                <w:sz w:val="18"/>
              </w:rPr>
              <w:t>Première promotion de 12–15 auditeurs algériens (ingénieurs, doctorants, cadres HSE) formés ISO 14064-3 / 14065 / méthodologie MACF (IR 2025/2547), avec missions en binôme sous supervision du partenaire européen. Portage : Université d’El Tarf + université partenaire (Annaba/Oran).</w:t>
            </w:r>
          </w:p>
        </w:tc>
        <w:tc>
          <w:tcPr>
            <w:tcW w:type="dxa" w:w="2154"/>
          </w:tcPr>
          <w:p>
            <w:r/>
            <w:r>
              <w:rPr>
                <w:sz w:val="18"/>
              </w:rPr>
              <w:t>Première cohorte certifiée ; 5 auditeurs ayant réalisé ≥ 2 missions supervisées</w:t>
            </w:r>
          </w:p>
        </w:tc>
        <w:tc>
          <w:tcPr>
            <w:tcW w:type="dxa" w:w="2041"/>
          </w:tcPr>
          <w:p>
            <w:r/>
            <w:r>
              <w:rPr>
                <w:sz w:val="18"/>
              </w:rPr>
              <w:t>Convention université–ministère ; hébergement dans un incubateur ; visibilité</w:t>
            </w:r>
          </w:p>
        </w:tc>
      </w:tr>
      <w:tr>
        <w:tc>
          <w:tcPr>
            <w:tcW w:type="dxa" w:w="1814"/>
          </w:tcPr>
          <w:p>
            <w:r/>
            <w:r>
              <w:rPr>
                <w:sz w:val="18"/>
              </w:rPr>
              <w:t>③ Feuille de route souveraine</w:t>
            </w:r>
          </w:p>
        </w:tc>
        <w:tc>
          <w:tcPr>
            <w:tcW w:type="dxa" w:w="3628"/>
          </w:tcPr>
          <w:p>
            <w:r/>
            <w:r>
              <w:rPr>
                <w:sz w:val="18"/>
              </w:rPr>
              <w:t>Étude et plan d’action pour doter ALGERAC d’un périmètre ISO 14065 / reconnaissance EA à horizon 2028–2030, afin que l’Algérie accrédite elle-même ses vérificateurs — comme le Maroc et l’Égypte l’ont engagé.</w:t>
            </w:r>
          </w:p>
        </w:tc>
        <w:tc>
          <w:tcPr>
            <w:tcW w:type="dxa" w:w="2154"/>
          </w:tcPr>
          <w:p>
            <w:r/>
            <w:r>
              <w:rPr>
                <w:sz w:val="18"/>
              </w:rPr>
              <w:t>Rapport remis au Gouvernement ; proposition de texte réglementaire</w:t>
            </w:r>
          </w:p>
        </w:tc>
        <w:tc>
          <w:tcPr>
            <w:tcW w:type="dxa" w:w="2041"/>
          </w:tcPr>
          <w:p>
            <w:r/>
            <w:r>
              <w:rPr>
                <w:sz w:val="18"/>
              </w:rPr>
              <w:t>Saisine interministérielle (Industrie, Commerce extérieur, Environnement)</w:t>
            </w:r>
          </w:p>
        </w:tc>
      </w:tr>
    </w:tbl>
    <w:p>
      <w:pPr>
        <w:spacing w:after="40"/>
      </w:pPr>
    </w:p>
    <w:tbl>
      <w:tblPr>
        <w:tblW w:type="auto" w:w="0"/>
        <w:jc w:val="center"/>
        <w:tblLook w:firstColumn="1" w:firstRow="1" w:lastColumn="0" w:lastRow="0" w:noHBand="0" w:noVBand="1" w:val="04A0"/>
      </w:tblPr>
      <w:tblGrid>
        <w:gridCol w:w="9972"/>
      </w:tblGrid>
      <w:tr>
        <w:tc>
          <w:tcPr>
            <w:tcW w:type="dxa" w:w="9638"/>
            <w:shd w:val="clear" w:color="auto" w:fill="E8F5EE"/>
          </w:tcPr>
          <w:p>
            <w:r/>
            <w:r>
              <w:rPr>
                <w:b/>
                <w:color w:val="0F6E3C"/>
                <w:sz w:val="22"/>
              </w:rPr>
              <w:t>Financement : autoporté. La start-up se rémunère sur les diagnostics et les honoraires de vérification payés par les exportateurs (en devises, via le partenaire européen). La formation est prise en charge par le partenaire en contrepartie de l’accès au marché. Le programme ne demande pas un dinar au Trésor — il en rapporte.</w:t>
            </w:r>
          </w:p>
        </w:tc>
      </w:tr>
    </w:tbl>
    <w:p>
      <w:pPr>
        <w:spacing w:after="40"/>
      </w:pPr>
    </w:p>
    <w:p>
      <w:pPr>
        <w:spacing w:before="200" w:after="80"/>
      </w:pPr>
      <w:r>
        <w:rPr>
          <w:b/>
          <w:color w:val="0B2A4A"/>
          <w:sz w:val="26"/>
        </w:rPr>
        <w:t>5. Pourquoi ce montage, et pourquoi maintenant</w:t>
      </w:r>
    </w:p>
    <w:p>
      <w:pPr>
        <w:pStyle w:val="ListBullet"/>
        <w:spacing w:after="40"/>
      </w:pPr>
      <w:r>
        <w:rPr>
          <w:b/>
        </w:rPr>
        <w:t>Un partenaire vérifié, pas une promesse.</w:t>
      </w:r>
      <w:r>
        <w:t xml:space="preserve"> Un partenaire européen déjà accrédité ETS depuis 18 ans, auditable sur le registre public de l’organisme bulgare d’accréditation (certificat n° 12 ОВ), prêt à former et superviser des auditeurs algériens — au lieu d’attendre que les grands groupes envoient leurs propres équipes et facturent en conséquence.</w:t>
      </w:r>
    </w:p>
    <w:p>
      <w:pPr>
        <w:pStyle w:val="ListBullet"/>
        <w:spacing w:after="40"/>
      </w:pPr>
      <w:r>
        <w:rPr>
          <w:b/>
        </w:rPr>
        <w:t>L’université au centre.</w:t>
      </w:r>
      <w:r>
        <w:t xml:space="preserve"> L’université apporte la neutralité indispensable face aux groupes publics, et la capacité de former en nombre. C’est la différence entre une prestation étrangère et une compétence nationale.</w:t>
      </w:r>
    </w:p>
    <w:p>
      <w:pPr>
        <w:pStyle w:val="ListBullet"/>
        <w:spacing w:after="40"/>
      </w:pPr>
      <w:r>
        <w:rPr>
          <w:b/>
        </w:rPr>
        <w:t>Un avantage de vitesse.</w:t>
      </w:r>
      <w:r>
        <w:t xml:space="preserve"> Ce que le Maroc a fait par la loi (IMANOR, 2025) et l’Égypte par l’accréditation (EGAC), l’Algérie peut le faire plus vite par l’agilité start-up — et devenir en 2027 le pays du Maghreb où la vérification MACF est la plus fluide pour un importateur européen.</w:t>
      </w:r>
    </w:p>
    <w:p>
      <w:pPr>
        <w:pStyle w:val="ListBullet"/>
        <w:spacing w:after="40"/>
      </w:pPr>
      <w:r>
        <w:rPr>
          <w:b/>
        </w:rPr>
        <w:t>Une compétence exportable.</w:t>
      </w:r>
      <w:r>
        <w:t xml:space="preserve"> Chaque vérification réalisée par un Algérien plutôt que par un auditeur venu d’Europe, c’est des honoraires en devises qui restent au pays et une compétence qui se capitalise jusqu’en 2030 et au-delà.</w:t>
      </w:r>
    </w:p>
    <w:p>
      <w:pPr>
        <w:spacing w:before="200" w:after="80"/>
      </w:pPr>
      <w:r>
        <w:rPr>
          <w:b/>
          <w:color w:val="0B2A4A"/>
          <w:sz w:val="26"/>
        </w:rPr>
        <w:t>6. Ce que nous demandons à Monsieur le Ministre — trois gestes, aucun budget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97"/>
            <w:shd w:val="clear" w:color="auto" w:fill="0B2A4A"/>
          </w:tcPr>
          <w:p>
            <w:r/>
            <w:r>
              <w:rPr>
                <w:b/>
                <w:color w:val="FFFFFF"/>
                <w:sz w:val="18"/>
              </w:rPr>
              <w:t>#</w:t>
            </w:r>
          </w:p>
        </w:tc>
        <w:tc>
          <w:tcPr>
            <w:tcW w:type="dxa" w:w="4876"/>
            <w:shd w:val="clear" w:color="auto" w:fill="0B2A4A"/>
          </w:tcPr>
          <w:p>
            <w:r/>
            <w:r>
              <w:rPr>
                <w:b/>
                <w:color w:val="FFFFFF"/>
                <w:sz w:val="18"/>
              </w:rPr>
              <w:t>Geste</w:t>
            </w:r>
          </w:p>
        </w:tc>
        <w:tc>
          <w:tcPr>
            <w:tcW w:type="dxa" w:w="1020"/>
            <w:shd w:val="clear" w:color="auto" w:fill="0B2A4A"/>
          </w:tcPr>
          <w:p>
            <w:r/>
            <w:r>
              <w:rPr>
                <w:b/>
                <w:color w:val="FFFFFF"/>
                <w:sz w:val="18"/>
              </w:rPr>
              <w:t>Délai</w:t>
            </w:r>
          </w:p>
        </w:tc>
        <w:tc>
          <w:tcPr>
            <w:tcW w:type="dxa" w:w="3345"/>
            <w:shd w:val="clear" w:color="auto" w:fill="0B2A4A"/>
          </w:tcPr>
          <w:p>
            <w:r/>
            <w:r>
              <w:rPr>
                <w:b/>
                <w:color w:val="FFFFFF"/>
                <w:sz w:val="18"/>
              </w:rPr>
              <w:t>Effet</w:t>
            </w:r>
          </w:p>
        </w:tc>
      </w:tr>
      <w:tr>
        <w:tc>
          <w:tcPr>
            <w:tcW w:type="dxa" w:w="397"/>
          </w:tcPr>
          <w:p>
            <w:r/>
            <w:r>
              <w:rPr>
                <w:sz w:val="18"/>
              </w:rPr>
              <w:t>1</w:t>
            </w:r>
          </w:p>
        </w:tc>
        <w:tc>
          <w:tcPr>
            <w:tcW w:type="dxa" w:w="4876"/>
          </w:tcPr>
          <w:p>
            <w:r/>
            <w:r>
              <w:rPr>
                <w:sz w:val="18"/>
              </w:rPr>
              <w:t>Une lettre de soutien de principe au « Programme national de préparation au MACF » et l’attribution du label start-up au véhicule porteur</w:t>
            </w:r>
          </w:p>
        </w:tc>
        <w:tc>
          <w:tcPr>
            <w:tcW w:type="dxa" w:w="1020"/>
          </w:tcPr>
          <w:p>
            <w:r/>
            <w:r>
              <w:rPr>
                <w:sz w:val="18"/>
              </w:rPr>
              <w:t>30 jours</w:t>
            </w:r>
          </w:p>
        </w:tc>
        <w:tc>
          <w:tcPr>
            <w:tcW w:type="dxa" w:w="3345"/>
          </w:tcPr>
          <w:p>
            <w:r/>
            <w:r>
              <w:rPr>
                <w:sz w:val="18"/>
              </w:rPr>
              <w:t>Crédibilise le montage auprès du partenaire européen et des exportateurs ; déclenche l’engagement écrit du partenaire</w:t>
            </w:r>
          </w:p>
        </w:tc>
      </w:tr>
      <w:tr>
        <w:tc>
          <w:tcPr>
            <w:tcW w:type="dxa" w:w="397"/>
          </w:tcPr>
          <w:p>
            <w:r/>
            <w:r>
              <w:rPr>
                <w:sz w:val="18"/>
              </w:rPr>
              <w:t>2</w:t>
            </w:r>
          </w:p>
        </w:tc>
        <w:tc>
          <w:tcPr>
            <w:tcW w:type="dxa" w:w="4876"/>
          </w:tcPr>
          <w:p>
            <w:r/>
            <w:r>
              <w:rPr>
                <w:sz w:val="18"/>
              </w:rPr>
              <w:t>Le parrainage d’un atelier national « Exportateurs algériens face au MACF » (décembre 2026, université + ministère + partenaire européen), réunissant les responsables HSE des 15 installations exposées</w:t>
            </w:r>
          </w:p>
        </w:tc>
        <w:tc>
          <w:tcPr>
            <w:tcW w:type="dxa" w:w="1020"/>
          </w:tcPr>
          <w:p>
            <w:r/>
            <w:r>
              <w:rPr>
                <w:sz w:val="18"/>
              </w:rPr>
              <w:t>90 jours</w:t>
            </w:r>
          </w:p>
        </w:tc>
        <w:tc>
          <w:tcPr>
            <w:tcW w:type="dxa" w:w="3345"/>
          </w:tcPr>
          <w:p>
            <w:r/>
            <w:r>
              <w:rPr>
                <w:sz w:val="18"/>
              </w:rPr>
              <w:t>Première cartographie nationale de préparation ; lancement de la cohorte d’auditeurs</w:t>
            </w:r>
          </w:p>
        </w:tc>
      </w:tr>
      <w:tr>
        <w:tc>
          <w:tcPr>
            <w:tcW w:type="dxa" w:w="397"/>
          </w:tcPr>
          <w:p>
            <w:r/>
            <w:r>
              <w:rPr>
                <w:sz w:val="18"/>
              </w:rPr>
              <w:t>3</w:t>
            </w:r>
          </w:p>
        </w:tc>
        <w:tc>
          <w:tcPr>
            <w:tcW w:type="dxa" w:w="4876"/>
          </w:tcPr>
          <w:p>
            <w:r/>
            <w:r>
              <w:rPr>
                <w:sz w:val="18"/>
              </w:rPr>
              <w:t>Une saisine interministérielle sur la composante ③ (périmètre ISO 14065 pour ALGERAC)</w:t>
            </w:r>
          </w:p>
        </w:tc>
        <w:tc>
          <w:tcPr>
            <w:tcW w:type="dxa" w:w="1020"/>
          </w:tcPr>
          <w:p>
            <w:r/>
            <w:r>
              <w:rPr>
                <w:sz w:val="18"/>
              </w:rPr>
              <w:t>6 mois</w:t>
            </w:r>
          </w:p>
        </w:tc>
        <w:tc>
          <w:tcPr>
            <w:tcW w:type="dxa" w:w="3345"/>
          </w:tcPr>
          <w:p>
            <w:r/>
            <w:r>
              <w:rPr>
                <w:sz w:val="18"/>
              </w:rPr>
              <w:t>Positionne le ministère comme initiateur de la souveraineté carbone du pays</w:t>
            </w:r>
          </w:p>
        </w:tc>
      </w:tr>
    </w:tbl>
    <w:p>
      <w:pPr>
        <w:spacing w:after="40"/>
      </w:pPr>
    </w:p>
    <w:p>
      <w:pPr>
        <w:spacing w:after="40"/>
      </w:pPr>
      <w:r>
        <w:rPr>
          <w:b w:val="0"/>
          <w:i w:val="0"/>
        </w:rPr>
        <w:t xml:space="preserve"> </w:t>
      </w:r>
    </w:p>
    <w:tbl>
      <w:tblPr>
        <w:tblW w:type="auto" w:w="0"/>
        <w:jc w:val="center"/>
        <w:tblLook w:firstColumn="1" w:firstRow="1" w:lastColumn="0" w:lastRow="0" w:noHBand="0" w:noVBand="1" w:val="04A0"/>
      </w:tblPr>
      <w:tblGrid>
        <w:gridCol w:w="9972"/>
      </w:tblGrid>
      <w:tr>
        <w:tc>
          <w:tcPr>
            <w:tcW w:type="dxa" w:w="9638"/>
            <w:shd w:val="clear" w:color="auto" w:fill="0B2A4A"/>
          </w:tcPr>
          <w:p>
            <w:r/>
            <w:r>
              <w:rPr>
                <w:b/>
                <w:color w:val="FFFFFF"/>
                <w:sz w:val="22"/>
              </w:rPr>
              <w:t>En une phrase : l’Europe a construit le péage ; le Maroc et l’Égypte ont commencé à former leurs péagistes ; l’Algérie peut encore, en douze mois, passer du statut de pays qui subit la taxe à celui de pays qui la mesure lui-même — et votre ministère est le seul dont le mandat couvre les trois leviers nécessaires : start-up, compétences, numérique.</w:t>
            </w:r>
          </w:p>
        </w:tc>
      </w:tr>
    </w:tbl>
    <w:p>
      <w:pPr>
        <w:spacing w:after="40"/>
      </w:pPr>
    </w:p>
    <w:p>
      <w:pPr>
        <w:spacing w:after="80"/>
      </w:pPr>
      <w:r>
        <w:rPr>
          <w:b w:val="0"/>
          <w:i w:val="0"/>
          <w:color w:val="555555"/>
          <w:sz w:val="15"/>
        </w:rPr>
        <w:t>Sources : Commission européenne (Règlement (UE) 2023/956 ; IR (UE) 2025/2546, 2025/2547, 2025/2621 ; DR (UE) 2025/2551) · Argus Media, valeurs par défaut ammoniac/urée Algérie, déc. 2025 · ICEX/ITC fiche-pays Algérie 2026 · Ministère du Commerce extérieur (exportations hors hydrocarbures 2025) · Registre BAS (nab-bas.bg) · NUPI Policy Brief 2026/2 (Maroc) · Carbon Pulse (loi marocaine, juin 2025) · Liste ALGERAC des organismes accrédités (juillet 2026) · GMK Center (sidérurgie algérienne, 2026) · APS (exportations clinker Chlef 2025). Les volumes et écarts d’émissions sont des estimations à partir de sources publiques, à valider avec les opérateurs.</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