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i w:val="0"/>
          <w:color w:val="1F3A5F"/>
          <w:sz w:val="34"/>
        </w:rPr>
        <w:t>استراتيجية الإقناع العميقة — كيف تصبح لا غنى عنك لـ Green and Fair</w:t>
      </w:r>
    </w:p>
    <w:p>
      <w:pPr>
        <w:jc w:val="right"/>
        <w:bidi/>
      </w:pPr>
      <w:r>
        <w:rPr>
          <w:b w:val="0"/>
          <w:i/>
          <w:color w:val="555555"/>
          <w:sz w:val="19"/>
        </w:rPr>
        <w:t>وثيقة بحث داخلية — حسام بن مراح — 21 سبتمبر 2026</w:t>
      </w:r>
    </w:p>
    <w:p>
      <w:pPr>
        <w:pStyle w:val="Heading1"/>
        <w:jc w:val="right"/>
        <w:bidi/>
      </w:pPr>
      <w:r>
        <w:rPr>
          <w:color w:val="1F3A5F"/>
        </w:rPr>
        <w:t>المبدأ الحاكم</w:t>
      </w:r>
    </w:p>
    <w:p>
      <w:pPr>
        <w:jc w:val="right"/>
        <w:bidi/>
      </w:pPr>
      <w:r>
        <w:rPr>
          <w:b/>
          <w:i w:val="0"/>
        </w:rPr>
        <w:t>أنطون لا يبحث عن "شريك متحمس"؛ يبحث عن حلّ لثلاث مشكلات لا يستطيع حلّها من صوفيا. من يحلّها له يفوز — ومن يطلب فرصة يخسر. كل ما يلي مبني على قلب المعادلة: أنت لا تطلب، أنت تُزيل مخاطر عنه.</w:t>
      </w:r>
    </w:p>
    <w:p>
      <w:pPr>
        <w:pStyle w:val="Heading1"/>
        <w:jc w:val="right"/>
        <w:bidi/>
      </w:pPr>
      <w:r>
        <w:rPr>
          <w:color w:val="1F3A5F"/>
        </w:rPr>
        <w:t>أولاً: التشخيص — ما الذي يؤرق أنطون فعلاً؟</w:t>
      </w:r>
    </w:p>
    <w:tbl>
      <w:tblPr>
        <w:tblStyle w:val="TableGrid"/>
        <w:tblW w:type="auto" w:w="0"/>
        <w:tblLook w:firstColumn="1" w:firstRow="1" w:lastColumn="0" w:lastRow="0" w:noHBand="0" w:noVBand="1" w:val="04A0"/>
        <w:bidiVisual/>
      </w:tblPr>
      <w:tblGrid>
        <w:gridCol w:w="3324"/>
        <w:gridCol w:w="3324"/>
        <w:gridCol w:w="3324"/>
      </w:tblGrid>
      <w:tr>
        <w:tc>
          <w:tcPr>
            <w:tcW w:type="dxa" w:w="3118"/>
            <w:shd w:val="clear" w:color="auto" w:fill="1F3A5F"/>
          </w:tcPr>
          <w:p>
            <w:pPr>
              <w:jc w:val="right"/>
              <w:bidi/>
            </w:pPr>
            <w:r/>
            <w:r>
              <w:rPr>
                <w:b/>
                <w:color w:val="FFFFFF"/>
                <w:sz w:val="19"/>
              </w:rPr>
              <w:t>مشكلته الحقيقية</w:t>
            </w:r>
          </w:p>
        </w:tc>
        <w:tc>
          <w:tcPr>
            <w:tcW w:type="dxa" w:w="2551"/>
            <w:shd w:val="clear" w:color="auto" w:fill="1F3A5F"/>
          </w:tcPr>
          <w:p>
            <w:pPr>
              <w:jc w:val="right"/>
              <w:bidi/>
            </w:pPr>
            <w:r/>
            <w:r>
              <w:rPr>
                <w:b/>
                <w:color w:val="FFFFFF"/>
                <w:sz w:val="19"/>
              </w:rPr>
              <w:t>الدليل</w:t>
            </w:r>
          </w:p>
        </w:tc>
        <w:tc>
          <w:tcPr>
            <w:tcW w:type="dxa" w:w="3969"/>
            <w:shd w:val="clear" w:color="auto" w:fill="1F3A5F"/>
          </w:tcPr>
          <w:p>
            <w:pPr>
              <w:jc w:val="right"/>
              <w:bidi/>
            </w:pPr>
            <w:r/>
            <w:r>
              <w:rPr>
                <w:b/>
                <w:color w:val="FFFFFF"/>
                <w:sz w:val="19"/>
              </w:rPr>
              <w:t>كيف تحلّها أنت</w:t>
            </w:r>
          </w:p>
        </w:tc>
      </w:tr>
      <w:tr>
        <w:tc>
          <w:tcPr>
            <w:tcW w:type="dxa" w:w="3118"/>
          </w:tcPr>
          <w:p>
            <w:pPr>
              <w:jc w:val="right"/>
              <w:bidi/>
            </w:pPr>
            <w:r/>
            <w:r>
              <w:rPr>
                <w:sz w:val="19"/>
              </w:rPr>
              <w:t>فخّ السعة (Capacity trap): نافذة التحقق الأولى جانفي–سبتمبر 2027 فقط، والزيارة الميدانية إلزامية في السنة الأولى بلا استثناء (الزيارة الافتراضية تتطلب زيارة فعلية في السنة السابقة، والإعفاء الكامل يتطلب سنتين سابقتين). شركة بلغارية صغيرة لا تستطيع إرسال مدققيها إلى 14 موقعاً جزائرياً في 9 أشهر.</w:t>
            </w:r>
          </w:p>
        </w:tc>
        <w:tc>
          <w:tcPr>
            <w:tcW w:type="dxa" w:w="2551"/>
          </w:tcPr>
          <w:p>
            <w:pPr>
              <w:jc w:val="right"/>
              <w:bidi/>
            </w:pPr>
            <w:r/>
            <w:r>
              <w:rPr>
                <w:sz w:val="19"/>
              </w:rPr>
              <w:t>IR 2025/2546 + إرشادات المفوضية (أوت 2026)</w:t>
            </w:r>
          </w:p>
        </w:tc>
        <w:tc>
          <w:tcPr>
            <w:tcW w:type="dxa" w:w="3969"/>
          </w:tcPr>
          <w:p>
            <w:pPr>
              <w:jc w:val="right"/>
              <w:bidi/>
            </w:pPr>
            <w:r/>
            <w:r>
              <w:rPr>
                <w:sz w:val="19"/>
              </w:rPr>
              <w:t>مدقق مقيم على بُعد ساعة من عنابة/الحجار وساعتين من جيجل = يستطيع تنفيذ زيارات الشرق كلها دون تذكرة طيران واحدة من صوفيا.</w:t>
            </w:r>
          </w:p>
        </w:tc>
      </w:tr>
      <w:tr>
        <w:tc>
          <w:tcPr>
            <w:tcW w:type="dxa" w:w="3118"/>
          </w:tcPr>
          <w:p>
            <w:pPr>
              <w:jc w:val="right"/>
              <w:bidi/>
            </w:pPr>
            <w:r/>
            <w:r>
              <w:rPr>
                <w:sz w:val="19"/>
              </w:rPr>
              <w:t>منافسة العمالقة: BV وSGS وTÜV وDNV لديهم مكاتب في مصر والمغرب. الجزائر هي المربع الفارغ الوحيد في شمال إفريقيا: لا يوجد مكتب تحقق ETS/CBAM محلي لأي منهم.</w:t>
            </w:r>
          </w:p>
        </w:tc>
        <w:tc>
          <w:tcPr>
            <w:tcW w:type="dxa" w:w="2551"/>
          </w:tcPr>
          <w:p>
            <w:pPr>
              <w:jc w:val="right"/>
              <w:bidi/>
            </w:pPr>
            <w:r/>
            <w:r>
              <w:rPr>
                <w:sz w:val="19"/>
              </w:rPr>
              <w:t>دليل المحققين العالمي 2026 (مصر 4 هيئات معتمدة، المغرب SGS، الجزائر: لا شيء)</w:t>
            </w:r>
          </w:p>
        </w:tc>
        <w:tc>
          <w:tcPr>
            <w:tcW w:type="dxa" w:w="3969"/>
          </w:tcPr>
          <w:p>
            <w:pPr>
              <w:jc w:val="right"/>
              <w:bidi/>
            </w:pPr>
            <w:r/>
            <w:r>
              <w:rPr>
                <w:sz w:val="19"/>
              </w:rPr>
              <w:t>من يضع قدماً في الجزائر أولاً يحصد المنشآت الكبرى قبل وصول العمالقة — وأنت تذكرة الدخول الوحيدة المتاحة له الآن.</w:t>
            </w:r>
          </w:p>
        </w:tc>
      </w:tr>
      <w:tr>
        <w:tc>
          <w:tcPr>
            <w:tcW w:type="dxa" w:w="3118"/>
          </w:tcPr>
          <w:p>
            <w:pPr>
              <w:jc w:val="right"/>
              <w:bidi/>
            </w:pPr>
            <w:r/>
            <w:r>
              <w:rPr>
                <w:sz w:val="19"/>
              </w:rPr>
              <w:t>مخاطر الاعتماد: كل مهمة تُنفَّذ تحت اعتماد BAS رقم 12 ОВ. أي خلل في كفاءة الفريق أو الحياد يهدد الاعتماد كله. لذلك قال: "We must have supervision".</w:t>
            </w:r>
          </w:p>
        </w:tc>
        <w:tc>
          <w:tcPr>
            <w:tcW w:type="dxa" w:w="2551"/>
          </w:tcPr>
          <w:p>
            <w:pPr>
              <w:jc w:val="right"/>
              <w:bidi/>
            </w:pPr>
            <w:r/>
            <w:r>
              <w:rPr>
                <w:sz w:val="19"/>
              </w:rPr>
              <w:t>رده الحرفي + DR 2025/2551</w:t>
            </w:r>
          </w:p>
        </w:tc>
        <w:tc>
          <w:tcPr>
            <w:tcW w:type="dxa" w:w="3969"/>
          </w:tcPr>
          <w:p>
            <w:pPr>
              <w:jc w:val="right"/>
              <w:bidi/>
            </w:pPr>
            <w:r/>
            <w:r>
              <w:rPr>
                <w:sz w:val="19"/>
              </w:rPr>
              <w:t>أنت تقترح عليه بنفسك بنية حياد صارمة (من يجلب العميل لا يدققه) وتقبل مسار تأهيل موثق ISO 14066. هذا يُطمئنه أكثر من أي وعد.</w:t>
            </w:r>
          </w:p>
        </w:tc>
      </w:tr>
      <w:tr>
        <w:tc>
          <w:tcPr>
            <w:tcW w:type="dxa" w:w="3118"/>
          </w:tcPr>
          <w:p>
            <w:pPr>
              <w:jc w:val="right"/>
              <w:bidi/>
            </w:pPr>
            <w:r/>
            <w:r>
              <w:rPr>
                <w:sz w:val="19"/>
              </w:rPr>
              <w:t>فجوة الوقت: اعتماد CBAM لم يُمنح لأحد بعد؛ حتى لو حصل عليه في الخريف، لا يمكنه إصدار تقارير قبل جانفي 2027. أشهر أكتوبر–ديسمبر 2026 = صفر إيراد CBAM.</w:t>
            </w:r>
          </w:p>
        </w:tc>
        <w:tc>
          <w:tcPr>
            <w:tcW w:type="dxa" w:w="2551"/>
          </w:tcPr>
          <w:p>
            <w:pPr>
              <w:jc w:val="right"/>
              <w:bidi/>
            </w:pPr>
            <w:r/>
            <w:r>
              <w:rPr>
                <w:sz w:val="19"/>
              </w:rPr>
              <w:t>المفوضية: تقارير التحقق عبر السجل من جانفي 2027</w:t>
            </w:r>
          </w:p>
        </w:tc>
        <w:tc>
          <w:tcPr>
            <w:tcW w:type="dxa" w:w="3969"/>
          </w:tcPr>
          <w:p>
            <w:pPr>
              <w:jc w:val="right"/>
              <w:bidi/>
            </w:pPr>
            <w:r/>
            <w:r>
              <w:rPr>
                <w:sz w:val="19"/>
              </w:rPr>
              <w:t>تعرض عليه خطاً إيرادياً لا يعتمد على الاعتماد: التحقق المسبق (Pre-verification) — خدمة غير معتمدة يبيعها SGS علناً — لتجهيز المنشآت قبل الزيارة الرسمية.</w:t>
            </w:r>
          </w:p>
        </w:tc>
      </w:tr>
    </w:tbl>
    <w:p/>
    <w:p>
      <w:pPr>
        <w:pStyle w:val="Heading1"/>
        <w:jc w:val="right"/>
        <w:bidi/>
      </w:pPr>
      <w:r>
        <w:rPr>
          <w:color w:val="1F3A5F"/>
        </w:rPr>
        <w:t>ثانياً: خمس رافعات "غير تقليدية" للإقناع</w:t>
      </w:r>
    </w:p>
    <w:p>
      <w:pPr>
        <w:pStyle w:val="Heading2"/>
        <w:jc w:val="right"/>
        <w:bidi/>
      </w:pPr>
      <w:r>
        <w:rPr>
          <w:color w:val="1F3A5F"/>
        </w:rPr>
        <w:t>الرافعة 1 — "الدليل قبل العقد" (Proof of access)</w:t>
      </w:r>
    </w:p>
    <w:p>
      <w:pPr>
        <w:jc w:val="right"/>
        <w:bidi/>
      </w:pPr>
      <w:r>
        <w:rPr>
          <w:b w:val="0"/>
          <w:i w:val="0"/>
        </w:rPr>
        <w:t>أقوى شيء يمكن أن تفعله قبل الأربعاء أو بعده مباشرة: الحصول على رسالة اهتمام (Letter of Interest) أو حتى إيميل من مسؤول HSE/بيئة في منشأة واحدة (Fertial Annaba أو ALSOLB — الأقرب إليك) يقول: "نحن مهتمون بتقييم جاهزية CBAM". هذا يحوّلك من "شخص يتكلم عن السوق" إلى "شخص يملك الباب". عمالقة التحقق لا يملكون هذا في الجزائر.</w:t>
      </w:r>
    </w:p>
    <w:p>
      <w:pPr>
        <w:pStyle w:val="ListBullet"/>
        <w:jc w:val="right"/>
        <w:bidi/>
      </w:pPr>
      <w:r>
        <w:t>استخدم الانتماء الجامعي: طلب لقاء تقني "في إطار بحث حول أثر MACF على الصادرات الجزائرية" — لا أحد يرفض جامعة.</w:t>
      </w:r>
    </w:p>
    <w:p>
      <w:pPr>
        <w:pStyle w:val="ListBullet"/>
        <w:jc w:val="right"/>
        <w:bidi/>
      </w:pPr>
      <w:r>
        <w:t>لا تعرض خدمة G&amp;F بعد؛ اسأل فقط: هل سجّلتم المنشأة في بوابة المشغّلين CBAM Operators Portal؟ هل لديكم خطة رصد وفق IR 2025/2547؟ هل طلب منكم مستوردكم الأوروبي بيانات محققة؟ (الجواب غالباً: لا، لا، نعم — وهذا هو الألم).</w:t>
      </w:r>
    </w:p>
    <w:p>
      <w:pPr>
        <w:pStyle w:val="Heading2"/>
        <w:jc w:val="right"/>
        <w:bidi/>
      </w:pPr>
      <w:r>
        <w:rPr>
          <w:color w:val="1F3A5F"/>
        </w:rPr>
        <w:t>الرافعة 2 — حاسبة الألم المالي لكل منشأة</w:t>
      </w:r>
    </w:p>
    <w:p>
      <w:pPr>
        <w:jc w:val="right"/>
        <w:bidi/>
      </w:pPr>
      <w:r>
        <w:rPr>
          <w:b w:val="0"/>
          <w:i w:val="0"/>
        </w:rPr>
        <w:t>الجزائر بلا سعر كربون محلي → لا خصم (Article 9). القيم الافتراضية تحمل علاوة 10% في 2026 ثم 20% في 2027 ثم 30% من 2028. ابنِ لكل منشأة ذات أولوية A جدولاً من سطر واحد: (حجم التصدير للاتحاد) × (الفارق بين القيمة الافتراضية للجزائر والانبعاث الفعلي المقدَّر لتقنيتها) × (سعر ETS ≈ 70–90 €). قدّم هذا لأنطون كـ"خريطة إيرادات" لا كخريطة سوق: كل سطر = حجم تحفيز العميل على الدفع.</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1701"/>
            <w:shd w:val="clear" w:color="auto" w:fill="1F3A5F"/>
          </w:tcPr>
          <w:p>
            <w:pPr>
              <w:jc w:val="right"/>
              <w:bidi/>
            </w:pPr>
            <w:r/>
            <w:r>
              <w:rPr>
                <w:b/>
                <w:color w:val="FFFFFF"/>
                <w:sz w:val="19"/>
              </w:rPr>
              <w:t>المنشأة</w:t>
            </w:r>
          </w:p>
        </w:tc>
        <w:tc>
          <w:tcPr>
            <w:tcW w:type="dxa" w:w="1984"/>
            <w:shd w:val="clear" w:color="auto" w:fill="1F3A5F"/>
          </w:tcPr>
          <w:p>
            <w:pPr>
              <w:jc w:val="right"/>
              <w:bidi/>
            </w:pPr>
            <w:r/>
            <w:r>
              <w:rPr>
                <w:b/>
                <w:color w:val="FFFFFF"/>
                <w:sz w:val="19"/>
              </w:rPr>
              <w:t>التقنية</w:t>
            </w:r>
          </w:p>
        </w:tc>
        <w:tc>
          <w:tcPr>
            <w:tcW w:type="dxa" w:w="3402"/>
            <w:shd w:val="clear" w:color="auto" w:fill="1F3A5F"/>
          </w:tcPr>
          <w:p>
            <w:pPr>
              <w:jc w:val="right"/>
              <w:bidi/>
            </w:pPr>
            <w:r/>
            <w:r>
              <w:rPr>
                <w:b/>
                <w:color w:val="FFFFFF"/>
                <w:sz w:val="19"/>
              </w:rPr>
              <w:t>لماذا الفارق كبير لصالحها</w:t>
            </w:r>
          </w:p>
        </w:tc>
        <w:tc>
          <w:tcPr>
            <w:tcW w:type="dxa" w:w="2551"/>
            <w:shd w:val="clear" w:color="auto" w:fill="1F3A5F"/>
          </w:tcPr>
          <w:p>
            <w:pPr>
              <w:jc w:val="right"/>
              <w:bidi/>
            </w:pPr>
            <w:r/>
            <w:r>
              <w:rPr>
                <w:b/>
                <w:color w:val="FFFFFF"/>
                <w:sz w:val="19"/>
              </w:rPr>
              <w:t>الرسالة للعميل</w:t>
            </w:r>
          </w:p>
        </w:tc>
      </w:tr>
      <w:tr>
        <w:tc>
          <w:tcPr>
            <w:tcW w:type="dxa" w:w="1701"/>
          </w:tcPr>
          <w:p>
            <w:pPr>
              <w:jc w:val="right"/>
              <w:bidi/>
            </w:pPr>
            <w:r/>
            <w:r>
              <w:rPr>
                <w:sz w:val="19"/>
              </w:rPr>
              <w:t>Tosyalı</w:t>
            </w:r>
          </w:p>
        </w:tc>
        <w:tc>
          <w:tcPr>
            <w:tcW w:type="dxa" w:w="1984"/>
          </w:tcPr>
          <w:p>
            <w:pPr>
              <w:jc w:val="right"/>
              <w:bidi/>
            </w:pPr>
            <w:r/>
            <w:r>
              <w:rPr>
                <w:sz w:val="19"/>
              </w:rPr>
              <w:t>DRI + EAF بالغاز</w:t>
            </w:r>
          </w:p>
        </w:tc>
        <w:tc>
          <w:tcPr>
            <w:tcW w:type="dxa" w:w="3402"/>
          </w:tcPr>
          <w:p>
            <w:pPr>
              <w:jc w:val="right"/>
              <w:bidi/>
            </w:pPr>
            <w:r/>
            <w:r>
              <w:rPr>
                <w:sz w:val="19"/>
              </w:rPr>
              <w:t>انبعاث مباشر أقل بكثير من مسار الفرن العالي الذي تُبنى عليه القيم الافتراضية</w:t>
            </w:r>
          </w:p>
        </w:tc>
        <w:tc>
          <w:tcPr>
            <w:tcW w:type="dxa" w:w="2551"/>
          </w:tcPr>
          <w:p>
            <w:pPr>
              <w:jc w:val="right"/>
              <w:bidi/>
            </w:pPr>
            <w:r/>
            <w:r>
              <w:rPr>
                <w:sz w:val="19"/>
              </w:rPr>
              <w:t>"تحققكم يحوّل ميزتكم البيئية إلى خصم سعري أمام مشتريكم الإيطالي"</w:t>
            </w:r>
          </w:p>
        </w:tc>
      </w:tr>
      <w:tr>
        <w:tc>
          <w:tcPr>
            <w:tcW w:type="dxa" w:w="1701"/>
          </w:tcPr>
          <w:p>
            <w:pPr>
              <w:jc w:val="right"/>
              <w:bidi/>
            </w:pPr>
            <w:r/>
            <w:r>
              <w:rPr>
                <w:sz w:val="19"/>
              </w:rPr>
              <w:t>AOA / Sorfert</w:t>
            </w:r>
          </w:p>
        </w:tc>
        <w:tc>
          <w:tcPr>
            <w:tcW w:type="dxa" w:w="1984"/>
          </w:tcPr>
          <w:p>
            <w:pPr>
              <w:jc w:val="right"/>
              <w:bidi/>
            </w:pPr>
            <w:r/>
            <w:r>
              <w:rPr>
                <w:sz w:val="19"/>
              </w:rPr>
              <w:t>أمونيا/يوريا من غاز طبيعي بوحدات حديثة (2013–2017)</w:t>
            </w:r>
          </w:p>
        </w:tc>
        <w:tc>
          <w:tcPr>
            <w:tcW w:type="dxa" w:w="3402"/>
          </w:tcPr>
          <w:p>
            <w:pPr>
              <w:jc w:val="right"/>
              <w:bidi/>
            </w:pPr>
            <w:r/>
            <w:r>
              <w:rPr>
                <w:sz w:val="19"/>
              </w:rPr>
              <w:t>كفاءة طاقية عالية؛ لكن يوريا = سلعة معقدة تحتاج سلسلة سلائف (أمونيا) موثقة</w:t>
            </w:r>
          </w:p>
        </w:tc>
        <w:tc>
          <w:tcPr>
            <w:tcW w:type="dxa" w:w="2551"/>
          </w:tcPr>
          <w:p>
            <w:pPr>
              <w:jc w:val="right"/>
              <w:bidi/>
            </w:pPr>
            <w:r/>
            <w:r>
              <w:rPr>
                <w:sz w:val="19"/>
              </w:rPr>
              <w:t>"90% من إنتاجكم يُصدَّر؛ كل طن بلا تحقق يدفع علاوة"</w:t>
            </w:r>
          </w:p>
        </w:tc>
      </w:tr>
      <w:tr>
        <w:tc>
          <w:tcPr>
            <w:tcW w:type="dxa" w:w="1701"/>
          </w:tcPr>
          <w:p>
            <w:pPr>
              <w:jc w:val="right"/>
              <w:bidi/>
            </w:pPr>
            <w:r/>
            <w:r>
              <w:rPr>
                <w:sz w:val="19"/>
              </w:rPr>
              <w:t>ECDE Chlef / Cilas</w:t>
            </w:r>
          </w:p>
        </w:tc>
        <w:tc>
          <w:tcPr>
            <w:tcW w:type="dxa" w:w="1984"/>
          </w:tcPr>
          <w:p>
            <w:pPr>
              <w:jc w:val="right"/>
              <w:bidi/>
            </w:pPr>
            <w:r/>
            <w:r>
              <w:rPr>
                <w:sz w:val="19"/>
              </w:rPr>
              <w:t>أفران جافة حديثة</w:t>
            </w:r>
          </w:p>
        </w:tc>
        <w:tc>
          <w:tcPr>
            <w:tcW w:type="dxa" w:w="3402"/>
          </w:tcPr>
          <w:p>
            <w:pPr>
              <w:jc w:val="right"/>
              <w:bidi/>
            </w:pPr>
            <w:r/>
            <w:r>
              <w:rPr>
                <w:sz w:val="19"/>
              </w:rPr>
              <w:t>الكلنكر سلعة بسيطة = تحقق أبسط وأسرع؛ 2 Mt نحو أوروبا في 2025</w:t>
            </w:r>
          </w:p>
        </w:tc>
        <w:tc>
          <w:tcPr>
            <w:tcW w:type="dxa" w:w="2551"/>
          </w:tcPr>
          <w:p>
            <w:pPr>
              <w:jc w:val="right"/>
              <w:bidi/>
            </w:pPr>
            <w:r/>
            <w:r>
              <w:rPr>
                <w:sz w:val="19"/>
              </w:rPr>
              <w:t>"أسرع عائد على الاستثمار في التحقق في الجزائر"</w:t>
            </w:r>
          </w:p>
        </w:tc>
      </w:tr>
      <w:tr>
        <w:tc>
          <w:tcPr>
            <w:tcW w:type="dxa" w:w="1701"/>
          </w:tcPr>
          <w:p>
            <w:pPr>
              <w:jc w:val="right"/>
              <w:bidi/>
            </w:pPr>
            <w:r/>
            <w:r>
              <w:rPr>
                <w:sz w:val="19"/>
              </w:rPr>
              <w:t>ALSOLB El Hadjar</w:t>
            </w:r>
          </w:p>
        </w:tc>
        <w:tc>
          <w:tcPr>
            <w:tcW w:type="dxa" w:w="1984"/>
          </w:tcPr>
          <w:p>
            <w:pPr>
              <w:jc w:val="right"/>
              <w:bidi/>
            </w:pPr>
            <w:r/>
            <w:r>
              <w:rPr>
                <w:sz w:val="19"/>
              </w:rPr>
              <w:t>BF-BOF</w:t>
            </w:r>
          </w:p>
        </w:tc>
        <w:tc>
          <w:tcPr>
            <w:tcW w:type="dxa" w:w="3402"/>
          </w:tcPr>
          <w:p>
            <w:pPr>
              <w:jc w:val="right"/>
              <w:bidi/>
            </w:pPr>
            <w:r/>
            <w:r>
              <w:rPr>
                <w:sz w:val="19"/>
              </w:rPr>
              <w:t>هنا العكس: قد تكون قيمته الفعلية قريبة من الافتراضية — لكن الزبون الأوروبي سيطلب التحقق للتأكد</w:t>
            </w:r>
          </w:p>
        </w:tc>
        <w:tc>
          <w:tcPr>
            <w:tcW w:type="dxa" w:w="2551"/>
          </w:tcPr>
          <w:p>
            <w:pPr>
              <w:jc w:val="right"/>
              <w:bidi/>
            </w:pPr>
            <w:r/>
            <w:r>
              <w:rPr>
                <w:sz w:val="19"/>
              </w:rPr>
              <w:t>أولوية B؛ لا تَعِد بوفورات</w:t>
            </w:r>
          </w:p>
        </w:tc>
      </w:tr>
    </w:tbl>
    <w:p/>
    <w:p>
      <w:pPr>
        <w:pStyle w:val="Heading2"/>
        <w:jc w:val="right"/>
        <w:bidi/>
      </w:pPr>
      <w:r>
        <w:rPr>
          <w:color w:val="1F3A5F"/>
        </w:rPr>
        <w:t>الرافعة 3 — منطق "المنشأة الواحدة = عدة مجموعات نشاط"</w:t>
      </w:r>
    </w:p>
    <w:p>
      <w:pPr>
        <w:jc w:val="right"/>
        <w:bidi/>
      </w:pPr>
      <w:r>
        <w:rPr>
          <w:b w:val="0"/>
          <w:i w:val="0"/>
        </w:rPr>
        <w:t>الاعتماد يُمنح حسب مجموعة النشاط (activity group)، والمحقق المعتمد للإسمنت لا يحقق تلقائياً في الحديد. أنطون قال "Full ex hydrogen" — أي نطاق كامل. أظهر له أنك فهمت لماذا هذا مهم في الجزائر تحديداً: Tosyalı وحده = كريات + DRI + صلب + منتجات مدرفلة (سلسلة سلائف داخلية كاملة)؛ Fertial Annaba = أمونيا + NPK؛ GICA = كلنكر + إسمنت. نطاقه الكامل يعني أن منشأة واحدة تُنتج عدة عقود تحقق. هذه ملاحظة لا يقولها إلا من قرأ اللوائح — وستُغيّر نظرته إليك.</w:t>
      </w:r>
    </w:p>
    <w:p>
      <w:pPr>
        <w:pStyle w:val="Heading2"/>
        <w:jc w:val="right"/>
        <w:bidi/>
      </w:pPr>
      <w:r>
        <w:rPr>
          <w:color w:val="1F3A5F"/>
        </w:rPr>
        <w:t>الرافعة 4 — عكس المخاطر عليه (Risk reversal)</w:t>
      </w:r>
    </w:p>
    <w:p>
      <w:pPr>
        <w:pStyle w:val="ListBullet"/>
        <w:jc w:val="right"/>
        <w:bidi/>
      </w:pPr>
      <w:r>
        <w:rPr>
          <w:b/>
        </w:rPr>
        <w:t xml:space="preserve">اقتراح 1: </w:t>
      </w:r>
      <w:r>
        <w:t>أول مهمتين بأجر "مدقق تحت التدريب" مخفّض مقابل التزام كتابي برفع الأجر عند اعتمادك الداخلي. (تكلفة تجربتك تكاد تكون صفراً بالنسبة له.)</w:t>
      </w:r>
    </w:p>
    <w:p>
      <w:pPr>
        <w:pStyle w:val="ListBullet"/>
        <w:jc w:val="right"/>
        <w:bidi/>
      </w:pPr>
      <w:r>
        <w:rPr>
          <w:b/>
        </w:rPr>
        <w:t xml:space="preserve">اقتراح 2: </w:t>
      </w:r>
      <w:r>
        <w:t>حصرية الجزائر لك مقابل هدف أداء: 3 رسائل اهتمام موثقة خلال 90 يوماً؛ إن فشلت تسقط الحصرية تلقائياً. (يرفع ثقته لأنك تُقيّد نفسك.)</w:t>
      </w:r>
    </w:p>
    <w:p>
      <w:pPr>
        <w:pStyle w:val="ListBullet"/>
        <w:jc w:val="right"/>
        <w:bidi/>
      </w:pPr>
      <w:r>
        <w:rPr>
          <w:b/>
        </w:rPr>
        <w:t xml:space="preserve">اقتراح 3: </w:t>
      </w:r>
      <w:r>
        <w:t>رسوم الإحالة تُدفع فقط عند تحصيله من العميل. (يُلغي أي خوف من دفع مقابل وعود.)</w:t>
      </w:r>
    </w:p>
    <w:p>
      <w:pPr>
        <w:pStyle w:val="Heading2"/>
        <w:jc w:val="right"/>
        <w:bidi/>
      </w:pPr>
      <w:r>
        <w:rPr>
          <w:color w:val="1F3A5F"/>
        </w:rPr>
        <w:t>الرافعة 5 — الجامعة كمنصة توليد عملاء مجانية له</w:t>
      </w:r>
    </w:p>
    <w:p>
      <w:pPr>
        <w:jc w:val="right"/>
        <w:bidi/>
      </w:pPr>
      <w:r>
        <w:rPr>
          <w:b w:val="0"/>
          <w:i w:val="0"/>
        </w:rPr>
        <w:t>اقترح ورشة "جاهزية MACF للمصدّرين الجزائريين" تستضيفها جامعة الطارف (أو بالشراكة مع جامعة عنابة/غرفة التجارة) في نوفمبر–ديسمبر 2026، يشارك فيها خبير من G&amp;F عن بُعد. النتيجة: 20–40 مسؤول HSE من المنشآت المستهدفة في قاعة واحدة، وG&amp;F هي الاسم الوحيد المطروح. تكلفتها عليه: ساعة زووم. قيمتها: pipeline كامل قبل أن يصل SGS. هذا العرض وحده يجعل مكالمة الأربعاء مختلفة عن كل مكالماته الأخرى.</w:t>
      </w:r>
    </w:p>
    <w:p>
      <w:pPr>
        <w:pStyle w:val="Heading1"/>
        <w:jc w:val="right"/>
        <w:bidi/>
      </w:pPr>
      <w:r>
        <w:rPr>
          <w:color w:val="1F3A5F"/>
        </w:rPr>
        <w:t>ثالثاً: جُمَل مفتاحية للمكالمة (تُقال كما هي)</w:t>
      </w:r>
    </w:p>
    <w:tbl>
      <w:tblPr>
        <w:tblStyle w:val="TableGrid"/>
        <w:tblW w:type="auto" w:w="0"/>
        <w:tblLook w:firstColumn="1" w:firstRow="1" w:lastColumn="0" w:lastRow="0" w:noHBand="0" w:noVBand="1" w:val="04A0"/>
        <w:bidiVisual/>
      </w:tblPr>
      <w:tblGrid>
        <w:gridCol w:w="3324"/>
        <w:gridCol w:w="3324"/>
        <w:gridCol w:w="3324"/>
      </w:tblGrid>
      <w:tr>
        <w:tc>
          <w:tcPr>
            <w:tcW w:type="dxa" w:w="1474"/>
            <w:shd w:val="clear" w:color="auto" w:fill="1F3A5F"/>
          </w:tcPr>
          <w:p>
            <w:pPr>
              <w:jc w:val="right"/>
              <w:bidi/>
            </w:pPr>
            <w:r/>
            <w:r>
              <w:rPr>
                <w:b/>
                <w:color w:val="FFFFFF"/>
                <w:sz w:val="19"/>
              </w:rPr>
              <w:t>اللحظة</w:t>
            </w:r>
          </w:p>
        </w:tc>
        <w:tc>
          <w:tcPr>
            <w:tcW w:type="dxa" w:w="5669"/>
            <w:shd w:val="clear" w:color="auto" w:fill="1F3A5F"/>
          </w:tcPr>
          <w:p>
            <w:pPr>
              <w:jc w:val="right"/>
              <w:bidi/>
            </w:pPr>
            <w:r/>
            <w:r>
              <w:rPr>
                <w:b/>
                <w:color w:val="FFFFFF"/>
                <w:sz w:val="19"/>
              </w:rPr>
              <w:t>الجملة (بالإنجليزية)</w:t>
            </w:r>
          </w:p>
        </w:tc>
        <w:tc>
          <w:tcPr>
            <w:tcW w:type="dxa" w:w="2494"/>
            <w:shd w:val="clear" w:color="auto" w:fill="1F3A5F"/>
          </w:tcPr>
          <w:p>
            <w:pPr>
              <w:jc w:val="right"/>
              <w:bidi/>
            </w:pPr>
            <w:r/>
            <w:r>
              <w:rPr>
                <w:b/>
                <w:color w:val="FFFFFF"/>
                <w:sz w:val="19"/>
              </w:rPr>
              <w:t>أثرها النفسي</w:t>
            </w:r>
          </w:p>
        </w:tc>
      </w:tr>
      <w:tr>
        <w:tc>
          <w:tcPr>
            <w:tcW w:type="dxa" w:w="1474"/>
          </w:tcPr>
          <w:p>
            <w:pPr>
              <w:jc w:val="right"/>
              <w:bidi/>
            </w:pPr>
            <w:r/>
            <w:r>
              <w:rPr>
                <w:sz w:val="19"/>
              </w:rPr>
              <w:t>بعد التحية</w:t>
            </w:r>
          </w:p>
        </w:tc>
        <w:tc>
          <w:tcPr>
            <w:tcW w:type="dxa" w:w="5669"/>
          </w:tcPr>
          <w:p>
            <w:pPr>
              <w:jc w:val="right"/>
              <w:bidi/>
            </w:pPr>
            <w:r/>
            <w:r>
              <w:rPr>
                <w:sz w:val="19"/>
              </w:rPr>
              <w:t>"Anton, I read IR 2025/2546 — first-year physical visits with no waiver. My question is simple: how will you staff Algeria between January and September 2027? That is the gap I am proposing to close."</w:t>
            </w:r>
          </w:p>
        </w:tc>
        <w:tc>
          <w:tcPr>
            <w:tcW w:type="dxa" w:w="2494"/>
          </w:tcPr>
          <w:p>
            <w:pPr>
              <w:jc w:val="right"/>
              <w:bidi/>
            </w:pPr>
            <w:r/>
            <w:r>
              <w:rPr>
                <w:sz w:val="19"/>
              </w:rPr>
              <w:t>تنقل النقاش من "من أنت" إلى "مشكلتي أنا"</w:t>
            </w:r>
          </w:p>
        </w:tc>
      </w:tr>
      <w:tr>
        <w:tc>
          <w:tcPr>
            <w:tcW w:type="dxa" w:w="1474"/>
          </w:tcPr>
          <w:p>
            <w:pPr>
              <w:jc w:val="right"/>
              <w:bidi/>
            </w:pPr>
            <w:r/>
            <w:r>
              <w:rPr>
                <w:sz w:val="19"/>
              </w:rPr>
              <w:t>عند سؤال freelancer/company</w:t>
            </w:r>
          </w:p>
        </w:tc>
        <w:tc>
          <w:tcPr>
            <w:tcW w:type="dxa" w:w="5669"/>
          </w:tcPr>
          <w:p>
            <w:pPr>
              <w:jc w:val="right"/>
              <w:bidi/>
            </w:pPr>
            <w:r/>
            <w:r>
              <w:rPr>
                <w:sz w:val="19"/>
              </w:rPr>
              <w:t>"For the referral layer, an Algerian entity. For the auditor layer, me personally under your management system — with a strict rule: whoever originates a client never audits it. I assume that matches your BAS impartiality procedures?"</w:t>
            </w:r>
          </w:p>
        </w:tc>
        <w:tc>
          <w:tcPr>
            <w:tcW w:type="dxa" w:w="2494"/>
          </w:tcPr>
          <w:p>
            <w:pPr>
              <w:jc w:val="right"/>
              <w:bidi/>
            </w:pPr>
            <w:r/>
            <w:r>
              <w:rPr>
                <w:sz w:val="19"/>
              </w:rPr>
              <w:t>تُظهر أنك تحمي اعتماده</w:t>
            </w:r>
          </w:p>
        </w:tc>
      </w:tr>
      <w:tr>
        <w:tc>
          <w:tcPr>
            <w:tcW w:type="dxa" w:w="1474"/>
          </w:tcPr>
          <w:p>
            <w:pPr>
              <w:jc w:val="right"/>
              <w:bidi/>
            </w:pPr>
            <w:r/>
            <w:r>
              <w:rPr>
                <w:sz w:val="19"/>
              </w:rPr>
              <w:t>عند عرض السوق</w:t>
            </w:r>
          </w:p>
        </w:tc>
        <w:tc>
          <w:tcPr>
            <w:tcW w:type="dxa" w:w="5669"/>
          </w:tcPr>
          <w:p>
            <w:pPr>
              <w:jc w:val="right"/>
              <w:bidi/>
            </w:pPr>
            <w:r/>
            <w:r>
              <w:rPr>
                <w:sz w:val="19"/>
              </w:rPr>
              <w:t>"Algeria is not a scattered market — it is fewer than 15 sites, three sectors, and none of the big verifiers has an office there. Egypt has four accredited bodies; Morocco has SGS. Algeria is empty."</w:t>
            </w:r>
          </w:p>
        </w:tc>
        <w:tc>
          <w:tcPr>
            <w:tcW w:type="dxa" w:w="2494"/>
          </w:tcPr>
          <w:p>
            <w:pPr>
              <w:jc w:val="right"/>
              <w:bidi/>
            </w:pPr>
            <w:r/>
            <w:r>
              <w:rPr>
                <w:sz w:val="19"/>
              </w:rPr>
              <w:t>ندرة + إلحاح</w:t>
            </w:r>
          </w:p>
        </w:tc>
      </w:tr>
      <w:tr>
        <w:tc>
          <w:tcPr>
            <w:tcW w:type="dxa" w:w="1474"/>
          </w:tcPr>
          <w:p>
            <w:pPr>
              <w:jc w:val="right"/>
              <w:bidi/>
            </w:pPr>
            <w:r/>
            <w:r>
              <w:rPr>
                <w:sz w:val="19"/>
              </w:rPr>
              <w:t>عند الشروط</w:t>
            </w:r>
          </w:p>
        </w:tc>
        <w:tc>
          <w:tcPr>
            <w:tcW w:type="dxa" w:w="5669"/>
          </w:tcPr>
          <w:p>
            <w:pPr>
              <w:jc w:val="right"/>
              <w:bidi/>
            </w:pPr>
            <w:r/>
            <w:r>
              <w:rPr>
                <w:sz w:val="19"/>
              </w:rPr>
              <w:t>"I will accept a trainee rate for the first two engagements, and performance-conditioned exclusivity. I am confident enough in access that I prefer to be paid on results."</w:t>
            </w:r>
          </w:p>
        </w:tc>
        <w:tc>
          <w:tcPr>
            <w:tcW w:type="dxa" w:w="2494"/>
          </w:tcPr>
          <w:p>
            <w:pPr>
              <w:jc w:val="right"/>
              <w:bidi/>
            </w:pPr>
            <w:r/>
            <w:r>
              <w:rPr>
                <w:sz w:val="19"/>
              </w:rPr>
              <w:t>عكس المخاطر = ثقة</w:t>
            </w:r>
          </w:p>
        </w:tc>
      </w:tr>
      <w:tr>
        <w:tc>
          <w:tcPr>
            <w:tcW w:type="dxa" w:w="1474"/>
          </w:tcPr>
          <w:p>
            <w:pPr>
              <w:jc w:val="right"/>
              <w:bidi/>
            </w:pPr>
            <w:r/>
            <w:r>
              <w:rPr>
                <w:sz w:val="19"/>
              </w:rPr>
              <w:t>قبل الإغلاق</w:t>
            </w:r>
          </w:p>
        </w:tc>
        <w:tc>
          <w:tcPr>
            <w:tcW w:type="dxa" w:w="5669"/>
          </w:tcPr>
          <w:p>
            <w:pPr>
              <w:jc w:val="right"/>
              <w:bidi/>
            </w:pPr>
            <w:r/>
            <w:r>
              <w:rPr>
                <w:sz w:val="19"/>
              </w:rPr>
              <w:t>"Two concrete deliverables from my side within 30 days: a letter of interest from at least one priority-A installation, and a university-hosted CBAM readiness workshop with your expert on screen. What do you need from me to make that happen?"</w:t>
            </w:r>
          </w:p>
        </w:tc>
        <w:tc>
          <w:tcPr>
            <w:tcW w:type="dxa" w:w="2494"/>
          </w:tcPr>
          <w:p>
            <w:pPr>
              <w:jc w:val="right"/>
              <w:bidi/>
            </w:pPr>
            <w:r/>
            <w:r>
              <w:rPr>
                <w:sz w:val="19"/>
              </w:rPr>
              <w:t>التزام ملموس بتاريخ</w:t>
            </w:r>
          </w:p>
        </w:tc>
      </w:tr>
    </w:tbl>
    <w:p/>
    <w:p>
      <w:pPr>
        <w:pStyle w:val="Heading1"/>
        <w:jc w:val="right"/>
        <w:bidi/>
      </w:pPr>
      <w:r>
        <w:rPr>
          <w:color w:val="1F3A5F"/>
        </w:rPr>
        <w:t>رابعاً: ما يجب ألا تفعله</w:t>
      </w:r>
    </w:p>
    <w:p>
      <w:pPr>
        <w:pStyle w:val="ListBullet"/>
        <w:jc w:val="right"/>
        <w:bidi/>
      </w:pPr>
      <w:r>
        <w:t>لا تُكثر من الأسئلة القانونية في المكالمة — سألتَ 8 أسئلة كتابياً وأجاب؛ الآن وقت العرض لا الاستجواب.</w:t>
      </w:r>
    </w:p>
    <w:p>
      <w:pPr>
        <w:pStyle w:val="ListBullet"/>
        <w:jc w:val="right"/>
        <w:bidi/>
      </w:pPr>
      <w:r>
        <w:t>لا تذكر أن G&amp;F شركة صغيرة مقارنة بالعمالقة — بل اعكسها: "سرعتكم ومرونتكم هي ما تحتاجه الجزائر الآن".</w:t>
      </w:r>
    </w:p>
    <w:p>
      <w:pPr>
        <w:pStyle w:val="ListBullet"/>
        <w:jc w:val="right"/>
        <w:bidi/>
      </w:pPr>
      <w:r>
        <w:t>لا تُبالغ في الأرقام؛ قل "تقديرات من مصادر عامة، سنتحقق مع المشغّلين". الدقة المتحفظة تبني ثقة المدقق.</w:t>
      </w:r>
    </w:p>
    <w:p>
      <w:pPr>
        <w:pStyle w:val="ListBullet"/>
        <w:jc w:val="right"/>
        <w:bidi/>
      </w:pPr>
      <w:r>
        <w:t>لا تُرسل أي شيء للمنشآت باسم G&amp;F قبل موافقته الكتابية — الاعتماد ملكه.</w:t>
      </w:r>
    </w:p>
    <w:p>
      <w:pPr>
        <w:pStyle w:val="Heading1"/>
        <w:jc w:val="right"/>
        <w:bidi/>
      </w:pPr>
      <w:r>
        <w:rPr>
          <w:color w:val="1F3A5F"/>
        </w:rPr>
        <w:t>خامساً: خطة 30 يوماً بعد المكالمة</w:t>
      </w:r>
    </w:p>
    <w:tbl>
      <w:tblPr>
        <w:tblStyle w:val="TableGrid"/>
        <w:tblW w:type="auto" w:w="0"/>
        <w:tblLook w:firstColumn="1" w:firstRow="1" w:lastColumn="0" w:lastRow="0" w:noHBand="0" w:noVBand="1" w:val="04A0"/>
        <w:bidiVisual/>
      </w:tblPr>
      <w:tblGrid>
        <w:gridCol w:w="3324"/>
        <w:gridCol w:w="3324"/>
        <w:gridCol w:w="3324"/>
      </w:tblGrid>
      <w:tr>
        <w:tc>
          <w:tcPr>
            <w:tcW w:type="dxa" w:w="1020"/>
            <w:shd w:val="clear" w:color="auto" w:fill="1F3A5F"/>
          </w:tcPr>
          <w:p>
            <w:pPr>
              <w:jc w:val="right"/>
              <w:bidi/>
            </w:pPr>
            <w:r/>
            <w:r>
              <w:rPr>
                <w:b/>
                <w:color w:val="FFFFFF"/>
                <w:sz w:val="19"/>
              </w:rPr>
              <w:t>الأسبوع</w:t>
            </w:r>
          </w:p>
        </w:tc>
        <w:tc>
          <w:tcPr>
            <w:tcW w:type="dxa" w:w="5669"/>
            <w:shd w:val="clear" w:color="auto" w:fill="1F3A5F"/>
          </w:tcPr>
          <w:p>
            <w:pPr>
              <w:jc w:val="right"/>
              <w:bidi/>
            </w:pPr>
            <w:r/>
            <w:r>
              <w:rPr>
                <w:b/>
                <w:color w:val="FFFFFF"/>
                <w:sz w:val="19"/>
              </w:rPr>
              <w:t>الإجراء</w:t>
            </w:r>
          </w:p>
        </w:tc>
        <w:tc>
          <w:tcPr>
            <w:tcW w:type="dxa" w:w="2948"/>
            <w:shd w:val="clear" w:color="auto" w:fill="1F3A5F"/>
          </w:tcPr>
          <w:p>
            <w:pPr>
              <w:jc w:val="right"/>
              <w:bidi/>
            </w:pPr>
            <w:r/>
            <w:r>
              <w:rPr>
                <w:b/>
                <w:color w:val="FFFFFF"/>
                <w:sz w:val="19"/>
              </w:rPr>
              <w:t>النتيجة المستهدفة</w:t>
            </w:r>
          </w:p>
        </w:tc>
      </w:tr>
      <w:tr>
        <w:tc>
          <w:tcPr>
            <w:tcW w:type="dxa" w:w="1020"/>
          </w:tcPr>
          <w:p>
            <w:pPr>
              <w:jc w:val="right"/>
              <w:bidi/>
            </w:pPr>
            <w:r/>
            <w:r>
              <w:rPr>
                <w:sz w:val="19"/>
              </w:rPr>
              <w:t>1</w:t>
            </w:r>
          </w:p>
        </w:tc>
        <w:tc>
          <w:tcPr>
            <w:tcW w:type="dxa" w:w="5669"/>
          </w:tcPr>
          <w:p>
            <w:pPr>
              <w:jc w:val="right"/>
              <w:bidi/>
            </w:pPr>
            <w:r/>
            <w:r>
              <w:rPr>
                <w:sz w:val="19"/>
              </w:rPr>
              <w:t>إيميل ملخص + طلب مسودة العقدين وNDA. طلب لقاء تقني في Fertial Annaba وALSOLB بصفة جامعية.</w:t>
            </w:r>
          </w:p>
        </w:tc>
        <w:tc>
          <w:tcPr>
            <w:tcW w:type="dxa" w:w="2948"/>
          </w:tcPr>
          <w:p>
            <w:pPr>
              <w:jc w:val="right"/>
              <w:bidi/>
            </w:pPr>
            <w:r/>
            <w:r>
              <w:rPr>
                <w:sz w:val="19"/>
              </w:rPr>
              <w:t>توقيع NDA؛ موعدان ميدانيان</w:t>
            </w:r>
          </w:p>
        </w:tc>
      </w:tr>
      <w:tr>
        <w:tc>
          <w:tcPr>
            <w:tcW w:type="dxa" w:w="1020"/>
          </w:tcPr>
          <w:p>
            <w:pPr>
              <w:jc w:val="right"/>
              <w:bidi/>
            </w:pPr>
            <w:r/>
            <w:r>
              <w:rPr>
                <w:sz w:val="19"/>
              </w:rPr>
              <w:t>2</w:t>
            </w:r>
          </w:p>
        </w:tc>
        <w:tc>
          <w:tcPr>
            <w:tcW w:type="dxa" w:w="5669"/>
          </w:tcPr>
          <w:p>
            <w:pPr>
              <w:jc w:val="right"/>
              <w:bidi/>
            </w:pPr>
            <w:r/>
            <w:r>
              <w:rPr>
                <w:sz w:val="19"/>
              </w:rPr>
              <w:t>زيارتان؛ استبيان جاهزية من 10 أسئلة (تسجيل البوابة، خطة الرصد، عدادات، سلائف، طلبات المستورد).</w:t>
            </w:r>
          </w:p>
        </w:tc>
        <w:tc>
          <w:tcPr>
            <w:tcW w:type="dxa" w:w="2948"/>
          </w:tcPr>
          <w:p>
            <w:pPr>
              <w:jc w:val="right"/>
              <w:bidi/>
            </w:pPr>
            <w:r/>
            <w:r>
              <w:rPr>
                <w:sz w:val="19"/>
              </w:rPr>
              <w:t>رسالة اهتمام واحدة على الأقل</w:t>
            </w:r>
          </w:p>
        </w:tc>
      </w:tr>
      <w:tr>
        <w:tc>
          <w:tcPr>
            <w:tcW w:type="dxa" w:w="1020"/>
          </w:tcPr>
          <w:p>
            <w:pPr>
              <w:jc w:val="right"/>
              <w:bidi/>
            </w:pPr>
            <w:r/>
            <w:r>
              <w:rPr>
                <w:sz w:val="19"/>
              </w:rPr>
              <w:t>3</w:t>
            </w:r>
          </w:p>
        </w:tc>
        <w:tc>
          <w:tcPr>
            <w:tcW w:type="dxa" w:w="5669"/>
          </w:tcPr>
          <w:p>
            <w:pPr>
              <w:jc w:val="right"/>
              <w:bidi/>
            </w:pPr>
            <w:r/>
            <w:r>
              <w:rPr>
                <w:sz w:val="19"/>
              </w:rPr>
              <w:t>إنشاء الكيان القانوني (auto-entrepreneur/EURL)؛ إعداد ورشة الجامعة (تاريخ، قاعة، دعوات).</w:t>
            </w:r>
          </w:p>
        </w:tc>
        <w:tc>
          <w:tcPr>
            <w:tcW w:type="dxa" w:w="2948"/>
          </w:tcPr>
          <w:p>
            <w:pPr>
              <w:jc w:val="right"/>
              <w:bidi/>
            </w:pPr>
            <w:r/>
            <w:r>
              <w:rPr>
                <w:sz w:val="19"/>
              </w:rPr>
              <w:t>كيان قائم؛ تاريخ ورشة مؤكد</w:t>
            </w:r>
          </w:p>
        </w:tc>
      </w:tr>
      <w:tr>
        <w:tc>
          <w:tcPr>
            <w:tcW w:type="dxa" w:w="1020"/>
          </w:tcPr>
          <w:p>
            <w:pPr>
              <w:jc w:val="right"/>
              <w:bidi/>
            </w:pPr>
            <w:r/>
            <w:r>
              <w:rPr>
                <w:sz w:val="19"/>
              </w:rPr>
              <w:t>4</w:t>
            </w:r>
          </w:p>
        </w:tc>
        <w:tc>
          <w:tcPr>
            <w:tcW w:type="dxa" w:w="5669"/>
          </w:tcPr>
          <w:p>
            <w:pPr>
              <w:jc w:val="right"/>
              <w:bidi/>
            </w:pPr>
            <w:r/>
            <w:r>
              <w:rPr>
                <w:sz w:val="19"/>
              </w:rPr>
              <w:t>إرسال "حزمة الأدلة" لأنطون: رسالة الاهتمام + قائمة المدعوين + تقييم جاهزية أولي (مجهول الهوية).</w:t>
            </w:r>
          </w:p>
        </w:tc>
        <w:tc>
          <w:tcPr>
            <w:tcW w:type="dxa" w:w="2948"/>
          </w:tcPr>
          <w:p>
            <w:pPr>
              <w:jc w:val="right"/>
              <w:bidi/>
            </w:pPr>
            <w:r/>
            <w:r>
              <w:rPr>
                <w:sz w:val="19"/>
              </w:rPr>
              <w:t>توقيع اتفاق المدقق + الإحالة</w:t>
            </w:r>
          </w:p>
        </w:tc>
      </w:tr>
    </w:tbl>
    <w:p/>
    <w:p>
      <w:pPr>
        <w:jc w:val="right"/>
        <w:bidi/>
      </w:pPr>
      <w:r>
        <w:rPr>
          <w:b w:val="0"/>
          <w:i w:val="0"/>
        </w:rPr>
        <w:t xml:space="preserve"> </w:t>
      </w:r>
    </w:p>
    <w:p>
      <w:pPr>
        <w:jc w:val="right"/>
        <w:bidi/>
      </w:pPr>
      <w:r>
        <w:rPr>
          <w:b/>
          <w:i w:val="0"/>
          <w:color w:val="A01E1E"/>
        </w:rPr>
        <w:t>الخلاصة في سطر: العمالقة يملكون الاعتماد لكن لا يملكون الجزائر؛ أنطون يملك الاعتماد ولا يملك الجزائر؛ أنت لا تملك الاعتماد لكنك تستطيع أن تملك الجزائر خلال 30 يوماً. اجعل هذا واضحاً له دون أن تقوله حرفياً.</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