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i w:val="0"/>
          <w:color w:val="1F3A5F"/>
          <w:sz w:val="32"/>
        </w:rPr>
        <w:t>خطة الاتصال والرسائل الجاهزة — من تراسل، بأي ترتيب، وبأي نص</w:t>
      </w:r>
    </w:p>
    <w:p>
      <w:pPr>
        <w:jc w:val="right"/>
        <w:bidi/>
      </w:pPr>
      <w:r>
        <w:rPr>
          <w:b w:val="0"/>
          <w:i/>
          <w:color w:val="555555"/>
          <w:sz w:val="19"/>
        </w:rPr>
        <w:t>حسام بن مراح — 22 سبتمبر 2026 — وثيقة تشغيلية</w:t>
      </w:r>
    </w:p>
    <w:p>
      <w:pPr>
        <w:pStyle w:val="Heading1"/>
        <w:jc w:val="right"/>
        <w:bidi/>
      </w:pPr>
      <w:r>
        <w:rPr>
          <w:color w:val="1F3A5F"/>
        </w:rPr>
        <w:t>1. التقييم الصريح: هل يوجد أمل؟</w:t>
      </w:r>
    </w:p>
    <w:tbl>
      <w:tblPr>
        <w:tblW w:type="auto" w:w="0"/>
        <w:tblLook w:firstColumn="1" w:firstRow="1" w:lastColumn="0" w:lastRow="0" w:noHBand="0" w:noVBand="1" w:val="04A0"/>
        <w:bidiVisual/>
      </w:tblPr>
      <w:tblGrid>
        <w:gridCol w:w="9972"/>
      </w:tblGrid>
      <w:tr>
        <w:tc>
          <w:tcPr>
            <w:tcW w:type="dxa" w:w="9638"/>
            <w:shd w:val="clear" w:color="auto" w:fill="EAF3EA"/>
          </w:tcPr>
          <w:p>
            <w:pPr>
              <w:jc w:val="right"/>
              <w:bidi/>
            </w:pPr>
            <w:r/>
            <w:r>
              <w:rPr>
                <w:b/>
                <w:color w:val="0F6E3C"/>
                <w:sz w:val="21"/>
              </w:rPr>
              <w:t>نعم — محدد الشكل والحجم. الطلب مؤكد (عقد Asmidal–CRE في 7 سبتمبر 2026)؛ الحلقة الناقصة (التحقق الأوروبي المعتمد + مستقبِل ميداني) هي ما تعرضه بالضبط؛ أنت في المكان الصحيح (عنابة على بُعد ساعة، الباب الأكاديمي مفتوح)؛ محقق أوروبي جاء إليك بنفسه.</w:t>
            </w:r>
          </w:p>
        </w:tc>
      </w:tr>
    </w:tbl>
    <w:p/>
    <w:tbl>
      <w:tblPr>
        <w:tblStyle w:val="TableGrid"/>
        <w:tblW w:type="auto" w:w="0"/>
        <w:tblLook w:firstColumn="1" w:firstRow="1" w:lastColumn="0" w:lastRow="0" w:noHBand="0" w:noVBand="1" w:val="04A0"/>
        <w:bidiVisual/>
      </w:tblPr>
      <w:tblGrid>
        <w:gridCol w:w="4986"/>
        <w:gridCol w:w="4986"/>
      </w:tblGrid>
      <w:tr>
        <w:tc>
          <w:tcPr>
            <w:tcW w:type="dxa" w:w="3969"/>
            <w:shd w:val="clear" w:color="auto" w:fill="1F3A5F"/>
          </w:tcPr>
          <w:p>
            <w:pPr>
              <w:jc w:val="right"/>
              <w:bidi/>
            </w:pPr>
            <w:r/>
            <w:r>
              <w:rPr>
                <w:b/>
                <w:color w:val="FFFFFF"/>
                <w:sz w:val="18"/>
              </w:rPr>
              <w:t>العنصر</w:t>
            </w:r>
          </w:p>
        </w:tc>
        <w:tc>
          <w:tcPr>
            <w:tcW w:type="dxa" w:w="5669"/>
            <w:shd w:val="clear" w:color="auto" w:fill="1F3A5F"/>
          </w:tcPr>
          <w:p>
            <w:pPr>
              <w:jc w:val="right"/>
              <w:bidi/>
            </w:pPr>
            <w:r/>
            <w:r>
              <w:rPr>
                <w:b/>
                <w:color w:val="FFFFFF"/>
                <w:sz w:val="18"/>
              </w:rPr>
              <w:t>التقدير الواقعي</w:t>
            </w:r>
          </w:p>
        </w:tc>
      </w:tr>
      <w:tr>
        <w:tc>
          <w:tcPr>
            <w:tcW w:type="dxa" w:w="3969"/>
          </w:tcPr>
          <w:p>
            <w:pPr>
              <w:jc w:val="right"/>
              <w:bidi/>
            </w:pPr>
            <w:r/>
            <w:r>
              <w:rPr>
                <w:sz w:val="18"/>
              </w:rPr>
              <w:t>حجم السوق الجزائري للتحقق</w:t>
            </w:r>
          </w:p>
        </w:tc>
        <w:tc>
          <w:tcPr>
            <w:tcW w:type="dxa" w:w="5669"/>
          </w:tcPr>
          <w:p>
            <w:pPr>
              <w:jc w:val="right"/>
              <w:bidi/>
            </w:pPr>
            <w:r/>
            <w:r>
              <w:rPr>
                <w:sz w:val="18"/>
              </w:rPr>
              <w:t>&lt; 1 مليون €/سنة لكل الفاعلين؛ 12–20 منشأة</w:t>
            </w:r>
          </w:p>
        </w:tc>
      </w:tr>
      <w:tr>
        <w:tc>
          <w:tcPr>
            <w:tcW w:type="dxa" w:w="3969"/>
          </w:tcPr>
          <w:p>
            <w:pPr>
              <w:jc w:val="right"/>
              <w:bidi/>
            </w:pPr>
            <w:r/>
            <w:r>
              <w:rPr>
                <w:sz w:val="18"/>
              </w:rPr>
              <w:t>دخلك السنة الأولى / بعد سنتين</w:t>
            </w:r>
          </w:p>
        </w:tc>
        <w:tc>
          <w:tcPr>
            <w:tcW w:type="dxa" w:w="5669"/>
          </w:tcPr>
          <w:p>
            <w:pPr>
              <w:jc w:val="right"/>
              <w:bidi/>
            </w:pPr>
            <w:r/>
            <w:r>
              <w:rPr>
                <w:sz w:val="18"/>
              </w:rPr>
              <w:t>3–6 آلاف € / 10–20 ألف € (أحسن الأحوال 25–40 ألفاً)</w:t>
            </w:r>
          </w:p>
        </w:tc>
      </w:tr>
      <w:tr>
        <w:tc>
          <w:tcPr>
            <w:tcW w:type="dxa" w:w="3969"/>
          </w:tcPr>
          <w:p>
            <w:pPr>
              <w:jc w:val="right"/>
              <w:bidi/>
            </w:pPr>
            <w:r/>
            <w:r>
              <w:rPr>
                <w:sz w:val="18"/>
              </w:rPr>
              <w:t>أول مهمة مدفوعة</w:t>
            </w:r>
          </w:p>
        </w:tc>
        <w:tc>
          <w:tcPr>
            <w:tcW w:type="dxa" w:w="5669"/>
          </w:tcPr>
          <w:p>
            <w:pPr>
              <w:jc w:val="right"/>
              <w:bidi/>
            </w:pPr>
            <w:r/>
            <w:r>
              <w:rPr>
                <w:sz w:val="18"/>
              </w:rPr>
              <w:t>ليس قبل أوائل 2027 (4–6 أشهر رسائل بلا مقابل)</w:t>
            </w:r>
          </w:p>
        </w:tc>
      </w:tr>
      <w:tr>
        <w:tc>
          <w:tcPr>
            <w:tcW w:type="dxa" w:w="3969"/>
          </w:tcPr>
          <w:p>
            <w:pPr>
              <w:jc w:val="right"/>
              <w:bidi/>
            </w:pPr>
            <w:r/>
            <w:r>
              <w:rPr>
                <w:sz w:val="18"/>
              </w:rPr>
              <w:t>احتمال نتيجة ملموسة (عقد وكيل + 2–3 مهمات 2027)</w:t>
            </w:r>
          </w:p>
        </w:tc>
        <w:tc>
          <w:tcPr>
            <w:tcW w:type="dxa" w:w="5669"/>
          </w:tcPr>
          <w:p>
            <w:pPr>
              <w:jc w:val="right"/>
              <w:bidi/>
            </w:pPr>
            <w:r/>
            <w:r>
              <w:rPr>
                <w:sz w:val="18"/>
              </w:rPr>
              <w:t>40–50% إن نُفذت الخطوات الثلاث</w:t>
            </w:r>
          </w:p>
        </w:tc>
      </w:tr>
      <w:tr>
        <w:tc>
          <w:tcPr>
            <w:tcW w:type="dxa" w:w="3969"/>
          </w:tcPr>
          <w:p>
            <w:pPr>
              <w:jc w:val="right"/>
              <w:bidi/>
            </w:pPr>
            <w:r/>
            <w:r>
              <w:rPr>
                <w:sz w:val="18"/>
              </w:rPr>
              <w:t>احتمال أن تصبح مهنة رئيسية</w:t>
            </w:r>
          </w:p>
        </w:tc>
        <w:tc>
          <w:tcPr>
            <w:tcW w:type="dxa" w:w="5669"/>
          </w:tcPr>
          <w:p>
            <w:pPr>
              <w:jc w:val="right"/>
              <w:bidi/>
            </w:pPr>
            <w:r/>
            <w:r>
              <w:rPr>
                <w:sz w:val="18"/>
              </w:rPr>
              <w:t>&lt; 15%</w:t>
            </w:r>
          </w:p>
        </w:tc>
      </w:tr>
      <w:tr>
        <w:tc>
          <w:tcPr>
            <w:tcW w:type="dxa" w:w="3969"/>
          </w:tcPr>
          <w:p>
            <w:pPr>
              <w:jc w:val="right"/>
              <w:bidi/>
            </w:pPr>
            <w:r/>
            <w:r>
              <w:rPr>
                <w:sz w:val="18"/>
              </w:rPr>
              <w:t>ما يقتل الفرصة</w:t>
            </w:r>
          </w:p>
        </w:tc>
        <w:tc>
          <w:tcPr>
            <w:tcW w:type="dxa" w:w="5669"/>
          </w:tcPr>
          <w:p>
            <w:pPr>
              <w:jc w:val="right"/>
              <w:bidi/>
            </w:pPr>
            <w:r/>
            <w:r>
              <w:rPr>
                <w:sz w:val="18"/>
              </w:rPr>
              <w:t>عدم الإرسال. لا شيء آخر.</w:t>
            </w:r>
          </w:p>
        </w:tc>
      </w:tr>
    </w:tbl>
    <w:p/>
    <w:p>
      <w:pPr>
        <w:pStyle w:val="Heading1"/>
        <w:jc w:val="right"/>
        <w:bidi/>
      </w:pPr>
      <w:r>
        <w:rPr>
          <w:color w:val="1F3A5F"/>
        </w:rPr>
        <w:t>2. ثلاث جهات فقط — بهذا الترتيب</w:t>
      </w:r>
    </w:p>
    <w:tbl>
      <w:tblPr>
        <w:tblStyle w:val="TableGrid"/>
        <w:tblW w:type="auto" w:w="0"/>
        <w:tblLook w:firstColumn="1" w:firstRow="1" w:lastColumn="0" w:lastRow="0" w:noHBand="0" w:noVBand="1" w:val="04A0"/>
        <w:bidiVisual/>
      </w:tblPr>
      <w:tblGrid>
        <w:gridCol w:w="1994"/>
        <w:gridCol w:w="1994"/>
        <w:gridCol w:w="1994"/>
        <w:gridCol w:w="1994"/>
        <w:gridCol w:w="1994"/>
      </w:tblGrid>
      <w:tr>
        <w:tc>
          <w:tcPr>
            <w:tcW w:type="dxa" w:w="397"/>
            <w:shd w:val="clear" w:color="auto" w:fill="1F3A5F"/>
          </w:tcPr>
          <w:p>
            <w:pPr>
              <w:jc w:val="right"/>
              <w:bidi/>
            </w:pPr>
            <w:r/>
            <w:r>
              <w:rPr>
                <w:b/>
                <w:color w:val="FFFFFF"/>
                <w:sz w:val="18"/>
              </w:rPr>
              <w:t>#</w:t>
            </w:r>
          </w:p>
        </w:tc>
        <w:tc>
          <w:tcPr>
            <w:tcW w:type="dxa" w:w="2041"/>
            <w:shd w:val="clear" w:color="auto" w:fill="1F3A5F"/>
          </w:tcPr>
          <w:p>
            <w:pPr>
              <w:jc w:val="right"/>
              <w:bidi/>
            </w:pPr>
            <w:r/>
            <w:r>
              <w:rPr>
                <w:b/>
                <w:color w:val="FFFFFF"/>
                <w:sz w:val="18"/>
              </w:rPr>
              <w:t>الجهة</w:t>
            </w:r>
          </w:p>
        </w:tc>
        <w:tc>
          <w:tcPr>
            <w:tcW w:type="dxa" w:w="1134"/>
            <w:shd w:val="clear" w:color="auto" w:fill="1F3A5F"/>
          </w:tcPr>
          <w:p>
            <w:pPr>
              <w:jc w:val="right"/>
              <w:bidi/>
            </w:pPr>
            <w:r/>
            <w:r>
              <w:rPr>
                <w:b/>
                <w:color w:val="FFFFFF"/>
                <w:sz w:val="18"/>
              </w:rPr>
              <w:t>متى</w:t>
            </w:r>
          </w:p>
        </w:tc>
        <w:tc>
          <w:tcPr>
            <w:tcW w:type="dxa" w:w="3685"/>
            <w:shd w:val="clear" w:color="auto" w:fill="1F3A5F"/>
          </w:tcPr>
          <w:p>
            <w:pPr>
              <w:jc w:val="right"/>
              <w:bidi/>
            </w:pPr>
            <w:r/>
            <w:r>
              <w:rPr>
                <w:b/>
                <w:color w:val="FFFFFF"/>
                <w:sz w:val="18"/>
              </w:rPr>
              <w:t>ماذا ترسل</w:t>
            </w:r>
          </w:p>
        </w:tc>
        <w:tc>
          <w:tcPr>
            <w:tcW w:type="dxa" w:w="2381"/>
            <w:shd w:val="clear" w:color="auto" w:fill="1F3A5F"/>
          </w:tcPr>
          <w:p>
            <w:pPr>
              <w:jc w:val="right"/>
              <w:bidi/>
            </w:pPr>
            <w:r/>
            <w:r>
              <w:rPr>
                <w:b/>
                <w:color w:val="FFFFFF"/>
                <w:sz w:val="18"/>
              </w:rPr>
              <w:t>ما لا تفعل</w:t>
            </w:r>
          </w:p>
        </w:tc>
      </w:tr>
      <w:tr>
        <w:tc>
          <w:tcPr>
            <w:tcW w:type="dxa" w:w="397"/>
          </w:tcPr>
          <w:p>
            <w:pPr>
              <w:jc w:val="right"/>
              <w:bidi/>
            </w:pPr>
            <w:r/>
            <w:r>
              <w:rPr>
                <w:sz w:val="18"/>
              </w:rPr>
              <w:t>1</w:t>
            </w:r>
          </w:p>
        </w:tc>
        <w:tc>
          <w:tcPr>
            <w:tcW w:type="dxa" w:w="2041"/>
          </w:tcPr>
          <w:p>
            <w:pPr>
              <w:jc w:val="right"/>
              <w:bidi/>
            </w:pPr>
            <w:r/>
            <w:r>
              <w:rPr>
                <w:sz w:val="18"/>
              </w:rPr>
              <w:t>أنطون — Green and Fair (بلغاريا)</w:t>
            </w:r>
          </w:p>
        </w:tc>
        <w:tc>
          <w:tcPr>
            <w:tcW w:type="dxa" w:w="1134"/>
          </w:tcPr>
          <w:p>
            <w:pPr>
              <w:jc w:val="right"/>
              <w:bidi/>
            </w:pPr>
            <w:r/>
            <w:r>
              <w:rPr>
                <w:sz w:val="18"/>
              </w:rPr>
              <w:t>الآن</w:t>
            </w:r>
          </w:p>
        </w:tc>
        <w:tc>
          <w:tcPr>
            <w:tcW w:type="dxa" w:w="3685"/>
          </w:tcPr>
          <w:p>
            <w:pPr>
              <w:jc w:val="right"/>
              <w:bidi/>
            </w:pPr>
            <w:r/>
            <w:r>
              <w:rPr>
                <w:sz w:val="18"/>
              </w:rPr>
              <w:t>الإيميل الإنجليزي الجاهز (اتفاقية + NDA + مسار تأهيل + خطة 2027) + سطر: أول عقد MRV/CBAM جزائري وُقّع في 7/9 — الطلب صار حقيقياً.</w:t>
            </w:r>
          </w:p>
        </w:tc>
        <w:tc>
          <w:tcPr>
            <w:tcW w:type="dxa" w:w="2381"/>
          </w:tcPr>
          <w:p>
            <w:pPr>
              <w:jc w:val="right"/>
              <w:bidi/>
            </w:pPr>
            <w:r/>
            <w:r>
              <w:rPr>
                <w:sz w:val="18"/>
              </w:rPr>
              <w:t>لا تسأل عن EPPO إلا بعد رده الأول. لا تذكر الوزير.</w:t>
            </w:r>
          </w:p>
        </w:tc>
      </w:tr>
      <w:tr>
        <w:tc>
          <w:tcPr>
            <w:tcW w:type="dxa" w:w="397"/>
          </w:tcPr>
          <w:p>
            <w:pPr>
              <w:jc w:val="right"/>
              <w:bidi/>
            </w:pPr>
            <w:r/>
            <w:r>
              <w:rPr>
                <w:sz w:val="18"/>
              </w:rPr>
              <w:t>2</w:t>
            </w:r>
          </w:p>
        </w:tc>
        <w:tc>
          <w:tcPr>
            <w:tcW w:type="dxa" w:w="2041"/>
          </w:tcPr>
          <w:p>
            <w:pPr>
              <w:jc w:val="right"/>
              <w:bidi/>
            </w:pPr>
            <w:r/>
            <w:r>
              <w:rPr>
                <w:sz w:val="18"/>
              </w:rPr>
              <w:t>البروفيسورة زهاد بوسلامة — CRE عنابة</w:t>
            </w:r>
          </w:p>
        </w:tc>
        <w:tc>
          <w:tcPr>
            <w:tcW w:type="dxa" w:w="1134"/>
          </w:tcPr>
          <w:p>
            <w:pPr>
              <w:jc w:val="right"/>
              <w:bidi/>
            </w:pPr>
            <w:r/>
            <w:r>
              <w:rPr>
                <w:sz w:val="18"/>
              </w:rPr>
              <w:t>هذا الأسبوع</w:t>
            </w:r>
          </w:p>
        </w:tc>
        <w:tc>
          <w:tcPr>
            <w:tcW w:type="dxa" w:w="3685"/>
          </w:tcPr>
          <w:p>
            <w:pPr>
              <w:jc w:val="right"/>
              <w:bidi/>
            </w:pPr>
            <w:r/>
            <w:r>
              <w:rPr>
                <w:sz w:val="18"/>
              </w:rPr>
              <w:t>الرسالة الفرنسية أدناه من البريد الجامعي؛ CC السكرتارية.</w:t>
            </w:r>
          </w:p>
        </w:tc>
        <w:tc>
          <w:tcPr>
            <w:tcW w:type="dxa" w:w="2381"/>
          </w:tcPr>
          <w:p>
            <w:pPr>
              <w:jc w:val="right"/>
              <w:bidi/>
            </w:pPr>
            <w:r/>
            <w:r>
              <w:rPr>
                <w:sz w:val="18"/>
              </w:rPr>
              <w:t>لا تذكر اسم أي شركة، لا أرقام عمولة، لا الوزير.</w:t>
            </w:r>
          </w:p>
        </w:tc>
      </w:tr>
      <w:tr>
        <w:tc>
          <w:tcPr>
            <w:tcW w:type="dxa" w:w="397"/>
          </w:tcPr>
          <w:p>
            <w:pPr>
              <w:jc w:val="right"/>
              <w:bidi/>
            </w:pPr>
            <w:r/>
            <w:r>
              <w:rPr>
                <w:sz w:val="18"/>
              </w:rPr>
              <w:t>3</w:t>
            </w:r>
          </w:p>
        </w:tc>
        <w:tc>
          <w:tcPr>
            <w:tcW w:type="dxa" w:w="2041"/>
          </w:tcPr>
          <w:p>
            <w:pPr>
              <w:jc w:val="right"/>
              <w:bidi/>
            </w:pPr>
            <w:r/>
            <w:r>
              <w:rPr>
                <w:sz w:val="18"/>
              </w:rPr>
              <w:t>الوزير نور الدين وعداح</w:t>
            </w:r>
          </w:p>
        </w:tc>
        <w:tc>
          <w:tcPr>
            <w:tcW w:type="dxa" w:w="1134"/>
          </w:tcPr>
          <w:p>
            <w:pPr>
              <w:jc w:val="right"/>
              <w:bidi/>
            </w:pPr>
            <w:r/>
            <w:r>
              <w:rPr>
                <w:sz w:val="18"/>
              </w:rPr>
              <w:t>لاحقاً فقط</w:t>
            </w:r>
          </w:p>
        </w:tc>
        <w:tc>
          <w:tcPr>
            <w:tcW w:type="dxa" w:w="3685"/>
          </w:tcPr>
          <w:p>
            <w:pPr>
              <w:jc w:val="right"/>
              <w:bidi/>
            </w:pPr>
            <w:r/>
            <w:r>
              <w:rPr>
                <w:sz w:val="18"/>
              </w:rPr>
              <w:t>مذكرة المفهوم الفرنسية — بعد (أ) رد مكتوب + LoI من محقق أوروبي، (ب) لقاء واحد مع CRE.</w:t>
            </w:r>
          </w:p>
        </w:tc>
        <w:tc>
          <w:tcPr>
            <w:tcW w:type="dxa" w:w="2381"/>
          </w:tcPr>
          <w:p>
            <w:pPr>
              <w:jc w:val="right"/>
              <w:bidi/>
            </w:pPr>
            <w:r/>
            <w:r>
              <w:rPr>
                <w:sz w:val="18"/>
              </w:rPr>
              <w:t>لا تدخل عليه بفكرة؛ ادخل بشيء ملموس.</w:t>
            </w:r>
          </w:p>
        </w:tc>
      </w:tr>
    </w:tbl>
    <w:p/>
    <w:p>
      <w:pPr>
        <w:jc w:val="right"/>
        <w:bidi/>
      </w:pPr>
      <w:r>
        <w:rPr>
          <w:b w:val="0"/>
          <w:i/>
          <w:sz w:val="20"/>
        </w:rPr>
        <w:t>لا تتواصل الآن مع: Fertial مباشرة (اصطدام بـ CRE) · SGS/Eurocert/RINA (خطة ب فقط إن فشل أنطون أو تهرّب من سؤال EPPO) · GIZ (اختياري: طلب توصيات مؤتمر فبراير 2026 بإيميل قصير).</w:t>
      </w:r>
    </w:p>
    <w:p>
      <w:pPr>
        <w:pStyle w:val="Heading1"/>
        <w:jc w:val="right"/>
        <w:bidi/>
      </w:pPr>
      <w:r>
        <w:rPr>
          <w:color w:val="1F3A5F"/>
        </w:rPr>
        <w:t>3. بيانات الاتصال — CRE عنابة (مصدر: نشرة المركز الرسمية 2022، دليل WIPO TISC)</w:t>
      </w:r>
    </w:p>
    <w:tbl>
      <w:tblPr>
        <w:tblStyle w:val="TableGrid"/>
        <w:tblW w:type="auto" w:w="0"/>
        <w:tblLook w:firstColumn="1" w:firstRow="1" w:lastColumn="0" w:lastRow="0" w:noHBand="0" w:noVBand="1" w:val="04A0"/>
        <w:bidiVisual/>
      </w:tblPr>
      <w:tblGrid>
        <w:gridCol w:w="4986"/>
        <w:gridCol w:w="4986"/>
      </w:tblGrid>
      <w:tr>
        <w:tc>
          <w:tcPr>
            <w:tcW w:type="dxa" w:w="2268"/>
            <w:shd w:val="clear" w:color="auto" w:fill="1F3A5F"/>
          </w:tcPr>
          <w:p>
            <w:pPr>
              <w:jc w:val="right"/>
              <w:bidi/>
            </w:pPr>
            <w:r/>
            <w:r>
              <w:rPr>
                <w:b/>
                <w:color w:val="FFFFFF"/>
                <w:sz w:val="18"/>
              </w:rPr>
              <w:t>البند</w:t>
            </w:r>
          </w:p>
        </w:tc>
        <w:tc>
          <w:tcPr>
            <w:tcW w:type="dxa" w:w="7370"/>
            <w:shd w:val="clear" w:color="auto" w:fill="1F3A5F"/>
          </w:tcPr>
          <w:p>
            <w:pPr>
              <w:jc w:val="right"/>
              <w:bidi/>
            </w:pPr>
            <w:r/>
            <w:r>
              <w:rPr>
                <w:b/>
                <w:color w:val="FFFFFF"/>
                <w:sz w:val="18"/>
              </w:rPr>
              <w:t>القيمة</w:t>
            </w:r>
          </w:p>
        </w:tc>
      </w:tr>
      <w:tr>
        <w:tc>
          <w:tcPr>
            <w:tcW w:type="dxa" w:w="2268"/>
          </w:tcPr>
          <w:p>
            <w:pPr>
              <w:jc w:val="right"/>
              <w:bidi/>
            </w:pPr>
            <w:r/>
            <w:r>
              <w:rPr>
                <w:sz w:val="18"/>
              </w:rPr>
              <w:t>المديرة مباشرة</w:t>
            </w:r>
          </w:p>
        </w:tc>
        <w:tc>
          <w:tcPr>
            <w:tcW w:type="dxa" w:w="7370"/>
          </w:tcPr>
          <w:p>
            <w:pPr>
              <w:jc w:val="right"/>
              <w:bidi/>
            </w:pPr>
            <w:r/>
            <w:r>
              <w:rPr>
                <w:sz w:val="18"/>
              </w:rPr>
              <w:t>zihad.Bouslama@cre.dz</w:t>
            </w:r>
          </w:p>
        </w:tc>
      </w:tr>
      <w:tr>
        <w:tc>
          <w:tcPr>
            <w:tcW w:type="dxa" w:w="2268"/>
          </w:tcPr>
          <w:p>
            <w:pPr>
              <w:jc w:val="right"/>
              <w:bidi/>
            </w:pPr>
            <w:r/>
            <w:r>
              <w:rPr>
                <w:sz w:val="18"/>
              </w:rPr>
              <w:t>سكرتارية المديرة (CC)</w:t>
            </w:r>
          </w:p>
        </w:tc>
        <w:tc>
          <w:tcPr>
            <w:tcW w:type="dxa" w:w="7370"/>
          </w:tcPr>
          <w:p>
            <w:pPr>
              <w:jc w:val="right"/>
              <w:bidi/>
            </w:pPr>
            <w:r/>
            <w:r>
              <w:rPr>
                <w:sz w:val="18"/>
              </w:rPr>
              <w:t>secretariat@cre.dz</w:t>
            </w:r>
          </w:p>
        </w:tc>
      </w:tr>
      <w:tr>
        <w:tc>
          <w:tcPr>
            <w:tcW w:type="dxa" w:w="2268"/>
          </w:tcPr>
          <w:p>
            <w:pPr>
              <w:jc w:val="right"/>
              <w:bidi/>
            </w:pPr>
            <w:r/>
            <w:r>
              <w:rPr>
                <w:sz w:val="18"/>
              </w:rPr>
              <w:t>الأمين العام</w:t>
            </w:r>
          </w:p>
        </w:tc>
        <w:tc>
          <w:tcPr>
            <w:tcW w:type="dxa" w:w="7370"/>
          </w:tcPr>
          <w:p>
            <w:pPr>
              <w:jc w:val="right"/>
              <w:bidi/>
            </w:pPr>
            <w:r/>
            <w:r>
              <w:rPr>
                <w:sz w:val="18"/>
              </w:rPr>
              <w:t>secretairegeneral@cre.dz</w:t>
            </w:r>
          </w:p>
        </w:tc>
      </w:tr>
      <w:tr>
        <w:tc>
          <w:tcPr>
            <w:tcW w:type="dxa" w:w="2268"/>
          </w:tcPr>
          <w:p>
            <w:pPr>
              <w:jc w:val="right"/>
              <w:bidi/>
            </w:pPr>
            <w:r/>
            <w:r>
              <w:rPr>
                <w:sz w:val="18"/>
              </w:rPr>
              <w:t>الهاتف/الفاكس</w:t>
            </w:r>
          </w:p>
        </w:tc>
        <w:tc>
          <w:tcPr>
            <w:tcW w:type="dxa" w:w="7370"/>
          </w:tcPr>
          <w:p>
            <w:pPr>
              <w:jc w:val="right"/>
              <w:bidi/>
            </w:pPr>
            <w:r/>
            <w:r>
              <w:rPr>
                <w:sz w:val="18"/>
              </w:rPr>
              <w:t>038 57 02 53 · 038 57 02 51</w:t>
            </w:r>
          </w:p>
        </w:tc>
      </w:tr>
      <w:tr>
        <w:tc>
          <w:tcPr>
            <w:tcW w:type="dxa" w:w="2268"/>
          </w:tcPr>
          <w:p>
            <w:pPr>
              <w:jc w:val="right"/>
              <w:bidi/>
            </w:pPr>
            <w:r/>
            <w:r>
              <w:rPr>
                <w:sz w:val="18"/>
              </w:rPr>
              <w:t>المقر</w:t>
            </w:r>
          </w:p>
        </w:tc>
        <w:tc>
          <w:tcPr>
            <w:tcW w:type="dxa" w:w="7370"/>
          </w:tcPr>
          <w:p>
            <w:pPr>
              <w:jc w:val="right"/>
              <w:bidi/>
            </w:pPr>
            <w:r/>
            <w:r>
              <w:rPr>
                <w:sz w:val="18"/>
              </w:rPr>
              <w:t>حرم سيدي عمار، جامعة باجي مختار، ص.ب 2024، 23005 عنابة — ~45 دقيقة من الطارف</w:t>
            </w:r>
          </w:p>
        </w:tc>
      </w:tr>
      <w:tr>
        <w:tc>
          <w:tcPr>
            <w:tcW w:type="dxa" w:w="2268"/>
          </w:tcPr>
          <w:p>
            <w:pPr>
              <w:jc w:val="right"/>
              <w:bidi/>
            </w:pPr>
            <w:r/>
            <w:r>
              <w:rPr>
                <w:sz w:val="18"/>
              </w:rPr>
              <w:t>القاعدة</w:t>
            </w:r>
          </w:p>
        </w:tc>
        <w:tc>
          <w:tcPr>
            <w:tcW w:type="dxa" w:w="7370"/>
          </w:tcPr>
          <w:p>
            <w:pPr>
              <w:jc w:val="right"/>
              <w:bidi/>
            </w:pPr>
            <w:r/>
            <w:r>
              <w:rPr>
                <w:sz w:val="18"/>
              </w:rPr>
              <w:t>أرسل من h.benmerah@univ-eltarf.dz لا من Gmail. أستاذ إلى أستاذة: رسمي، قصير، يطلب لقاءً لا عقداً.</w:t>
            </w:r>
          </w:p>
        </w:tc>
      </w:tr>
      <w:tr>
        <w:tc>
          <w:tcPr>
            <w:tcW w:type="dxa" w:w="2268"/>
          </w:tcPr>
          <w:p>
            <w:pPr>
              <w:jc w:val="right"/>
              <w:bidi/>
            </w:pPr>
            <w:r/>
            <w:r>
              <w:rPr>
                <w:sz w:val="18"/>
              </w:rPr>
              <w:t>المتابعة</w:t>
            </w:r>
          </w:p>
        </w:tc>
        <w:tc>
          <w:tcPr>
            <w:tcW w:type="dxa" w:w="7370"/>
          </w:tcPr>
          <w:p>
            <w:pPr>
              <w:jc w:val="right"/>
              <w:bidi/>
            </w:pPr>
            <w:r/>
            <w:r>
              <w:rPr>
                <w:sz w:val="18"/>
              </w:rPr>
              <w:t>بلا رد بعد 5 أيام عمل → اتصل بالسكرتارية بالعربية للتأكد من الوصول.</w:t>
            </w:r>
          </w:p>
        </w:tc>
      </w:tr>
      <w:tr>
        <w:tc>
          <w:tcPr>
            <w:tcW w:type="dxa" w:w="2268"/>
          </w:tcPr>
          <w:p>
            <w:pPr>
              <w:jc w:val="right"/>
              <w:bidi/>
            </w:pPr>
            <w:r/>
            <w:r>
              <w:rPr>
                <w:sz w:val="18"/>
              </w:rPr>
              <w:t>في اللقاء</w:t>
            </w:r>
          </w:p>
        </w:tc>
        <w:tc>
          <w:tcPr>
            <w:tcW w:type="dxa" w:w="7370"/>
          </w:tcPr>
          <w:p>
            <w:pPr>
              <w:jc w:val="right"/>
              <w:bidi/>
            </w:pPr>
            <w:r/>
            <w:r>
              <w:rPr>
                <w:sz w:val="18"/>
              </w:rPr>
              <w:t>خذ: مذكرة الوزير (بلا اسم شريك) + ورقة تقويم 2026–2027. لا تأخذ عرض G&amp;F.</w:t>
            </w:r>
          </w:p>
        </w:tc>
      </w:tr>
    </w:tbl>
    <w:p/>
    <w:p>
      <w:pPr>
        <w:pStyle w:val="Heading1"/>
        <w:jc w:val="right"/>
        <w:bidi/>
      </w:pPr>
      <w:r>
        <w:rPr>
          <w:color w:val="1F3A5F"/>
        </w:rPr>
        <w:t>4. نص الرسالة إلى البروفيسورة بوسلامة (فرنسية — انسخها كما هي)</w:t>
      </w:r>
    </w:p>
    <w:p>
      <w:r>
        <w:rPr>
          <w:sz w:val="20"/>
        </w:rPr>
        <w:t>Objet : Proposition de rencontre — vérification accréditée des émissions dans le cadre du système MRV Fertial / CBAM</w:t>
      </w:r>
    </w:p>
    <w:p>
      <w:r>
        <w:rPr>
          <w:sz w:val="20"/>
        </w:rPr>
        <w:t>Madame la Directrice, Professeure Bouslama,</w:t>
      </w:r>
    </w:p>
    <w:p>
      <w:r>
        <w:rPr>
          <w:sz w:val="20"/>
        </w:rPr>
        <w:t>Permettez-moi tout d'abord de vous féliciter pour la convention-cadre signée le 7 septembre entre le groupe Asmidal et le Centre de Recherche en Environnement, relative à la mise en place d'un système MRV conforme à la norme ISO 14064:2018 au niveau des usines Fertial d'Annaba et d'Arzew. C'est, à ma connaissance, la première initiative algérienne structurée face au mécanisme d'ajustement carbone aux frontières (CBAM) de l'Union européenne.</w:t>
      </w:r>
    </w:p>
    <w:p>
      <w:r>
        <w:rPr>
          <w:sz w:val="20"/>
        </w:rPr>
        <w:t>Enseignant-chercheur à l'Université d'El Tarf, je travaille depuis plusieurs mois sur les exigences de vérification du CBAM, en particulier le règlement d'exécution (UE) 2025/2546 et les conditions d'accréditation des vérificateurs (ISO 14065 / ISO/IEC 17029). Dans ce cadre, je suis en relation avec des organismes de vérification européens accrédités EU ETS qui préparent l'extension de leur accréditation au CBAM et recherchent des relais universitaires locaux pour les visites de sites prévues à partir de 2027.</w:t>
      </w:r>
    </w:p>
    <w:p>
      <w:r>
        <w:rPr>
          <w:sz w:val="20"/>
        </w:rPr>
        <w:t>Le système MRV que vous mettez en place constitue l'étape indispensable ; la suivante — la vérification par un organisme accrédité par un État membre de l'UE, exigée pour que Fertial puisse déclarer ses émissions réelles plutôt que les valeurs par défaut majorées — ne peut, en l'état actuel, être assurée par aucune entité algérienne. C'est sur cette articulation que je souhaiterais échanger avec vous, dans une logique de complémentarité entre nos deux établissements.</w:t>
      </w:r>
    </w:p>
    <w:p>
      <w:r>
        <w:rPr>
          <w:sz w:val="20"/>
        </w:rPr>
        <w:t>Je serais honoré de vous rencontrer au CRE, à la date de votre convenance, pour vous présenter en une trentaine de minutes : (1) le calendrier réglementaire européen 2026–2027 ; (2) les exigences concrètes des vérificateurs vis-à-vis du système MRV ; (3) une possible convention inter-universitaire El Tarf–Annaba pour la formation d'auditeurs algériens.</w:t>
      </w:r>
    </w:p>
    <w:p>
      <w:r>
        <w:rPr>
          <w:sz w:val="20"/>
        </w:rPr>
        <w:t>Je vous prie d'agréer, Madame la Directrice, l'expression de ma haute considération.</w:t>
      </w:r>
    </w:p>
    <w:p>
      <w:r>
        <w:rPr>
          <w:sz w:val="20"/>
        </w:rPr>
        <w:t>Houssam BENMERAH</w:t>
        <w:br/>
        <w:t>Enseignant-chercheur, Université Chadli Bendjedid – El Tarf</w:t>
        <w:br/>
        <w:t>h.benmerah@univ-eltarf.dz — [téléphone]</w:t>
      </w:r>
    </w:p>
    <w:p>
      <w:pPr>
        <w:pStyle w:val="Heading1"/>
        <w:jc w:val="right"/>
        <w:bidi/>
      </w:pPr>
      <w:r>
        <w:rPr>
          <w:color w:val="1F3A5F"/>
        </w:rPr>
        <w:t>5. سطر يُضاف إلى إيميل أنطون (إنجليزي)</w:t>
      </w:r>
    </w:p>
    <w:p>
      <w:r>
        <w:rPr>
          <w:i/>
          <w:sz w:val="20"/>
        </w:rPr>
        <w:t>"One update since my last message: on 7 September 2026 Sonatrach's fertilizer group Asmidal signed a five-year MRV agreement (ISO 14064:2018) for the two Fertial plants (Annaba, Arzew) explicitly to meet CBAM requirements. Demand for an accredited EU verifier in Algeria is therefore no longer hypothetical for 2027."</w:t>
      </w:r>
    </w:p>
    <w:p>
      <w:pPr>
        <w:pStyle w:val="Heading1"/>
        <w:jc w:val="right"/>
        <w:bidi/>
      </w:pPr>
      <w:r>
        <w:rPr>
          <w:color w:val="1F3A5F"/>
        </w:rPr>
        <w:t>6. الجواب المختصر على "أيّ شركة أفضل من البلغارية؟"</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1701"/>
            <w:shd w:val="clear" w:color="auto" w:fill="1F3A5F"/>
          </w:tcPr>
          <w:p>
            <w:pPr>
              <w:jc w:val="right"/>
              <w:bidi/>
            </w:pPr>
            <w:r/>
            <w:r>
              <w:rPr>
                <w:b/>
                <w:color w:val="FFFFFF"/>
                <w:sz w:val="18"/>
              </w:rPr>
              <w:t>الشركة</w:t>
            </w:r>
          </w:p>
        </w:tc>
        <w:tc>
          <w:tcPr>
            <w:tcW w:type="dxa" w:w="2551"/>
            <w:shd w:val="clear" w:color="auto" w:fill="1F3A5F"/>
          </w:tcPr>
          <w:p>
            <w:pPr>
              <w:jc w:val="right"/>
              <w:bidi/>
            </w:pPr>
            <w:r/>
            <w:r>
              <w:rPr>
                <w:b/>
                <w:color w:val="FFFFFF"/>
                <w:sz w:val="18"/>
              </w:rPr>
              <w:t>للجزائر</w:t>
            </w:r>
          </w:p>
        </w:tc>
        <w:tc>
          <w:tcPr>
            <w:tcW w:type="dxa" w:w="2835"/>
            <w:shd w:val="clear" w:color="auto" w:fill="1F3A5F"/>
          </w:tcPr>
          <w:p>
            <w:pPr>
              <w:jc w:val="right"/>
              <w:bidi/>
            </w:pPr>
            <w:r/>
            <w:r>
              <w:rPr>
                <w:b/>
                <w:color w:val="FFFFFF"/>
                <w:sz w:val="18"/>
              </w:rPr>
              <w:t>لك</w:t>
            </w:r>
          </w:p>
        </w:tc>
        <w:tc>
          <w:tcPr>
            <w:tcW w:type="dxa" w:w="2551"/>
            <w:shd w:val="clear" w:color="auto" w:fill="1F3A5F"/>
          </w:tcPr>
          <w:p>
            <w:pPr>
              <w:jc w:val="right"/>
              <w:bidi/>
            </w:pPr>
            <w:r/>
            <w:r>
              <w:rPr>
                <w:b/>
                <w:color w:val="FFFFFF"/>
                <w:sz w:val="18"/>
              </w:rPr>
              <w:t>الحكم</w:t>
            </w:r>
          </w:p>
        </w:tc>
      </w:tr>
      <w:tr>
        <w:tc>
          <w:tcPr>
            <w:tcW w:type="dxa" w:w="1701"/>
          </w:tcPr>
          <w:p>
            <w:pPr>
              <w:jc w:val="right"/>
              <w:bidi/>
            </w:pPr>
            <w:r/>
            <w:r>
              <w:rPr>
                <w:sz w:val="18"/>
              </w:rPr>
              <w:t>SGS</w:t>
            </w:r>
          </w:p>
        </w:tc>
        <w:tc>
          <w:tcPr>
            <w:tcW w:type="dxa" w:w="2551"/>
          </w:tcPr>
          <w:p>
            <w:pPr>
              <w:jc w:val="right"/>
              <w:bidi/>
            </w:pPr>
            <w:r/>
            <w:r>
              <w:rPr>
                <w:sz w:val="18"/>
              </w:rPr>
              <w:t>ممتازة (أكبر محقق ETS، مكتب بالأبيار، معتمدة في بلغاريا)</w:t>
            </w:r>
          </w:p>
        </w:tc>
        <w:tc>
          <w:tcPr>
            <w:tcW w:type="dxa" w:w="2835"/>
          </w:tcPr>
          <w:p>
            <w:pPr>
              <w:jc w:val="right"/>
              <w:bidi/>
            </w:pPr>
            <w:r/>
            <w:r>
              <w:rPr>
                <w:sz w:val="18"/>
              </w:rPr>
              <w:t>ضعيف: لا عمولة ولا حصرية؛ مدقق حر 150–250 €/يوم</w:t>
            </w:r>
          </w:p>
        </w:tc>
        <w:tc>
          <w:tcPr>
            <w:tcW w:type="dxa" w:w="2551"/>
          </w:tcPr>
          <w:p>
            <w:pPr>
              <w:jc w:val="right"/>
              <w:bidi/>
            </w:pPr>
            <w:r/>
            <w:r>
              <w:rPr>
                <w:sz w:val="18"/>
              </w:rPr>
              <w:t>الأفضل للجزائر؛ خطة ب إلزامية</w:t>
            </w:r>
          </w:p>
        </w:tc>
      </w:tr>
      <w:tr>
        <w:tc>
          <w:tcPr>
            <w:tcW w:type="dxa" w:w="1701"/>
          </w:tcPr>
          <w:p>
            <w:pPr>
              <w:jc w:val="right"/>
              <w:bidi/>
            </w:pPr>
            <w:r/>
            <w:r>
              <w:rPr>
                <w:sz w:val="18"/>
              </w:rPr>
              <w:t>Bureau Veritas</w:t>
            </w:r>
          </w:p>
        </w:tc>
        <w:tc>
          <w:tcPr>
            <w:tcW w:type="dxa" w:w="2551"/>
          </w:tcPr>
          <w:p>
            <w:pPr>
              <w:jc w:val="right"/>
              <w:bidi/>
            </w:pPr>
            <w:r/>
            <w:r>
              <w:rPr>
                <w:sz w:val="18"/>
              </w:rPr>
              <w:t>ممتازة، علاقات Sonatrach</w:t>
            </w:r>
          </w:p>
        </w:tc>
        <w:tc>
          <w:tcPr>
            <w:tcW w:type="dxa" w:w="2835"/>
          </w:tcPr>
          <w:p>
            <w:pPr>
              <w:jc w:val="right"/>
              <w:bidi/>
            </w:pPr>
            <w:r/>
            <w:r>
              <w:rPr>
                <w:sz w:val="18"/>
              </w:rPr>
              <w:t>أسوأ: سيتجاوزك</w:t>
            </w:r>
          </w:p>
        </w:tc>
        <w:tc>
          <w:tcPr>
            <w:tcW w:type="dxa" w:w="2551"/>
          </w:tcPr>
          <w:p>
            <w:pPr>
              <w:jc w:val="right"/>
              <w:bidi/>
            </w:pPr>
            <w:r/>
            <w:r>
              <w:rPr>
                <w:sz w:val="18"/>
              </w:rPr>
              <w:t>منافس لا شريك</w:t>
            </w:r>
          </w:p>
        </w:tc>
      </w:tr>
      <w:tr>
        <w:tc>
          <w:tcPr>
            <w:tcW w:type="dxa" w:w="1701"/>
          </w:tcPr>
          <w:p>
            <w:pPr>
              <w:jc w:val="right"/>
              <w:bidi/>
            </w:pPr>
            <w:r/>
            <w:r>
              <w:rPr>
                <w:sz w:val="18"/>
              </w:rPr>
              <w:t>RINA (إيطاليا)</w:t>
            </w:r>
          </w:p>
        </w:tc>
        <w:tc>
          <w:tcPr>
            <w:tcW w:type="dxa" w:w="2551"/>
          </w:tcPr>
          <w:p>
            <w:pPr>
              <w:jc w:val="right"/>
              <w:bidi/>
            </w:pPr>
            <w:r/>
            <w:r>
              <w:rPr>
                <w:sz w:val="18"/>
              </w:rPr>
              <w:t>جيدة جداً؛ إيطاليا الزبون الأول</w:t>
            </w:r>
          </w:p>
        </w:tc>
        <w:tc>
          <w:tcPr>
            <w:tcW w:type="dxa" w:w="2835"/>
          </w:tcPr>
          <w:p>
            <w:pPr>
              <w:jc w:val="right"/>
              <w:bidi/>
            </w:pPr>
            <w:r/>
            <w:r>
              <w:rPr>
                <w:sz w:val="18"/>
              </w:rPr>
              <w:t>متوسط: لا مكتب = يحتاج وكيلاً</w:t>
            </w:r>
          </w:p>
        </w:tc>
        <w:tc>
          <w:tcPr>
            <w:tcW w:type="dxa" w:w="2551"/>
          </w:tcPr>
          <w:p>
            <w:pPr>
              <w:jc w:val="right"/>
              <w:bidi/>
            </w:pPr>
            <w:r/>
            <w:r>
              <w:rPr>
                <w:sz w:val="18"/>
              </w:rPr>
              <w:t>يستحق إيميلاً</w:t>
            </w:r>
          </w:p>
        </w:tc>
      </w:tr>
      <w:tr>
        <w:tc>
          <w:tcPr>
            <w:tcW w:type="dxa" w:w="1701"/>
          </w:tcPr>
          <w:p>
            <w:pPr>
              <w:jc w:val="right"/>
              <w:bidi/>
            </w:pPr>
            <w:r/>
            <w:r>
              <w:rPr>
                <w:sz w:val="18"/>
              </w:rPr>
              <w:t>Eurocert / Emicert (اليونان)</w:t>
            </w:r>
          </w:p>
        </w:tc>
        <w:tc>
          <w:tcPr>
            <w:tcW w:type="dxa" w:w="2551"/>
          </w:tcPr>
          <w:p>
            <w:pPr>
              <w:jc w:val="right"/>
              <w:bidi/>
            </w:pPr>
            <w:r/>
            <w:r>
              <w:rPr>
                <w:sz w:val="18"/>
              </w:rPr>
              <w:t>جيدة، سجل نظيف</w:t>
            </w:r>
          </w:p>
        </w:tc>
        <w:tc>
          <w:tcPr>
            <w:tcW w:type="dxa" w:w="2835"/>
          </w:tcPr>
          <w:p>
            <w:pPr>
              <w:jc w:val="right"/>
              <w:bidi/>
            </w:pPr>
            <w:r/>
            <w:r>
              <w:rPr>
                <w:sz w:val="18"/>
              </w:rPr>
              <w:t>جيد: نموذج "ممثل محلي" مطبق في تركيا (AURA)</w:t>
            </w:r>
          </w:p>
        </w:tc>
        <w:tc>
          <w:tcPr>
            <w:tcW w:type="dxa" w:w="2551"/>
          </w:tcPr>
          <w:p>
            <w:pPr>
              <w:jc w:val="right"/>
              <w:bidi/>
            </w:pPr>
            <w:r/>
            <w:r>
              <w:rPr>
                <w:sz w:val="18"/>
              </w:rPr>
              <w:t>أقرب بديل لـ G&amp;F بلا خطر السمعة</w:t>
            </w:r>
          </w:p>
        </w:tc>
      </w:tr>
      <w:tr>
        <w:tc>
          <w:tcPr>
            <w:tcW w:type="dxa" w:w="1701"/>
          </w:tcPr>
          <w:p>
            <w:pPr>
              <w:jc w:val="right"/>
              <w:bidi/>
            </w:pPr>
            <w:r/>
            <w:r>
              <w:rPr>
                <w:sz w:val="18"/>
              </w:rPr>
              <w:t>Green and Fair</w:t>
            </w:r>
          </w:p>
        </w:tc>
        <w:tc>
          <w:tcPr>
            <w:tcW w:type="dxa" w:w="2551"/>
          </w:tcPr>
          <w:p>
            <w:pPr>
              <w:jc w:val="right"/>
              <w:bidi/>
            </w:pPr>
            <w:r/>
            <w:r>
              <w:rPr>
                <w:sz w:val="18"/>
              </w:rPr>
              <w:t>ضعيفة: 6 أشخاص، ملف كوفاتشكي، لا نطاق CBAM بعد</w:t>
            </w:r>
          </w:p>
        </w:tc>
        <w:tc>
          <w:tcPr>
            <w:tcW w:type="dxa" w:w="2835"/>
          </w:tcPr>
          <w:p>
            <w:pPr>
              <w:jc w:val="right"/>
              <w:bidi/>
            </w:pPr>
            <w:r/>
            <w:r>
              <w:rPr>
                <w:sz w:val="18"/>
              </w:rPr>
              <w:t>الأفضل: بادروا، مرنون</w:t>
            </w:r>
          </w:p>
        </w:tc>
        <w:tc>
          <w:tcPr>
            <w:tcW w:type="dxa" w:w="2551"/>
          </w:tcPr>
          <w:p>
            <w:pPr>
              <w:jc w:val="right"/>
              <w:bidi/>
            </w:pPr>
            <w:r/>
            <w:r>
              <w:rPr>
                <w:sz w:val="18"/>
              </w:rPr>
              <w:t>الأسهل لا الأفضل — غير حصري حتى يُحسم EPPO</w:t>
            </w:r>
          </w:p>
        </w:tc>
      </w:tr>
    </w:tbl>
    <w:p/>
    <w:p>
      <w:pPr>
        <w:jc w:val="right"/>
        <w:bidi/>
      </w:pPr>
      <w:r>
        <w:rPr>
          <w:b/>
          <w:i w:val="0"/>
          <w:sz w:val="20"/>
        </w:rPr>
        <w:t>القاعدة: الكبار أفضل للجزائر وأسوأ لك؛ الصغار أفضل لك وأخطر على الجزائر. الحل تركيبة لا استبدال. أمام الوزير قل دائماً بالجمع: « organismes de vérification européens accrédités ».</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