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bidi/>
      </w:pPr>
      <w:r>
        <w:rPr>
          <w:b/>
          <w:i w:val="0"/>
          <w:color w:val="1F3A5F"/>
          <w:sz w:val="32"/>
        </w:rPr>
        <w:t>خريطة المنظومة الكاملة — كل من يعمل في تحقق CBAM باستثناء الشريك البلغاري</w:t>
      </w:r>
    </w:p>
    <w:p>
      <w:pPr>
        <w:jc w:val="right"/>
        <w:bidi/>
      </w:pPr>
      <w:r>
        <w:rPr>
          <w:b w:val="0"/>
          <w:i/>
          <w:color w:val="555555"/>
          <w:sz w:val="19"/>
        </w:rPr>
        <w:t>الملف الاستخباراتي رقم 2 — حسام بن مراح — 22 سبتمبر 2026 — مصادر مفتوحة (OSINT)</w:t>
      </w:r>
    </w:p>
    <w:p>
      <w:pPr>
        <w:pStyle w:val="Heading1"/>
        <w:jc w:val="right"/>
        <w:bidi/>
      </w:pPr>
      <w:r>
        <w:rPr>
          <w:color w:val="A01E1E"/>
        </w:rPr>
        <w:t>0. ثلاث نتائج جديدة تسبق كل شيء</w:t>
      </w:r>
    </w:p>
    <w:tbl>
      <w:tblPr>
        <w:tblW w:type="auto" w:w="0"/>
        <w:tblLook w:firstColumn="1" w:firstRow="1" w:lastColumn="0" w:lastRow="0" w:noHBand="0" w:noVBand="1" w:val="04A0"/>
        <w:bidiVisual/>
      </w:tblPr>
      <w:tblGrid>
        <w:gridCol w:w="9972"/>
      </w:tblGrid>
      <w:tr>
        <w:tc>
          <w:tcPr>
            <w:tcW w:type="dxa" w:w="9638"/>
            <w:shd w:val="clear" w:color="auto" w:fill="FDECEC"/>
          </w:tcPr>
          <w:p>
            <w:pPr>
              <w:jc w:val="right"/>
              <w:bidi/>
            </w:pPr>
            <w:r/>
            <w:r>
              <w:rPr>
                <w:b/>
                <w:color w:val="A01E1E"/>
                <w:sz w:val="21"/>
              </w:rPr>
              <w:t>1) الاتحاد الأوروبي وGIZ سبقوك إلى الوزارة: يومَي 16–17 فبراير 2026 نظّم برنامج TaqatHy+ (تمويل EU+ألمانيا، 28 مليون €، تنفيذ GIZ، إشراف وزارة الطاقة) مؤتمراً كاملاً عن CBAM في الجزائر حضرته 10 وزارات — بينها وزارة اقتصاد المعرفة والمؤسسات الناشئة — ومفوضية بروكسل، وخرج بتوصية صريحة: "تعزيز القدرات الوطنية في القياس والإبلاغ والتحقق (MRV)". أي أن الوزير سمع بالملف، والتوصية التي تحملها مكتوبة أصلاً باسم الاتحاد الأوروبي. هذا يقوّي عرضك (لست أول من يقول ذلك) ويُلزمك بأن تُقدّم نفسك كـ"المنفّذ المحلي للتوصية"، لا كمكتشفها.</w:t>
            </w:r>
          </w:p>
        </w:tc>
      </w:tr>
    </w:tbl>
    <w:p/>
    <w:tbl>
      <w:tblPr>
        <w:tblW w:type="auto" w:w="0"/>
        <w:tblLook w:firstColumn="1" w:firstRow="1" w:lastColumn="0" w:lastRow="0" w:noHBand="0" w:noVBand="1" w:val="04A0"/>
        <w:bidiVisual/>
      </w:tblPr>
      <w:tblGrid>
        <w:gridCol w:w="9972"/>
      </w:tblGrid>
      <w:tr>
        <w:tc>
          <w:tcPr>
            <w:tcW w:type="dxa" w:w="9638"/>
            <w:shd w:val="clear" w:color="auto" w:fill="FFF4E5"/>
          </w:tcPr>
          <w:p>
            <w:pPr>
              <w:jc w:val="right"/>
              <w:bidi/>
            </w:pPr>
            <w:r/>
            <w:r>
              <w:rPr>
                <w:b/>
                <w:color w:val="8A5A00"/>
                <w:sz w:val="21"/>
              </w:rPr>
              <w:t>2) فريق Green and Fair كلّه خمسة محققين + مديرة: ألبينا كيتيبوفا (رئيسة الهيئة)، البروفيسورة إكاترينا تودوروفا (مراجعة مستقلة)، د. م. إيفغيني سوكولوفسكي (المحقق الرئيسي والمفوض لدى السجل — وهو نفسه المُصرّح في تحقيق OCCRP)، م. إيفان إيفانوف، م. إيفغينيا يوردانوفا، كالينكا سوكولوفسكا. لا يوجد "أنطون" في القائمة الرسمية لدى وكالة البيئة البلغارية (يناير 2026). اطلب منه توضيح صفته: موظف؟ وكيل تجاري؟ شريك خارجي؟ — فهذا يحدد من يوقّع عقدك.</w:t>
            </w:r>
          </w:p>
        </w:tc>
      </w:tr>
    </w:tbl>
    <w:p/>
    <w:tbl>
      <w:tblPr>
        <w:tblW w:type="auto" w:w="0"/>
        <w:tblLook w:firstColumn="1" w:firstRow="1" w:lastColumn="0" w:lastRow="0" w:noHBand="0" w:noVBand="1" w:val="04A0"/>
        <w:bidiVisual/>
      </w:tblPr>
      <w:tblGrid>
        <w:gridCol w:w="9972"/>
      </w:tblGrid>
      <w:tr>
        <w:tc>
          <w:tcPr>
            <w:tcW w:type="dxa" w:w="9638"/>
            <w:shd w:val="clear" w:color="auto" w:fill="EAF3EA"/>
          </w:tcPr>
          <w:p>
            <w:pPr>
              <w:jc w:val="right"/>
              <w:bidi/>
            </w:pPr>
            <w:r/>
            <w:r>
              <w:rPr>
                <w:b/>
                <w:color w:val="0F6E3C"/>
                <w:sz w:val="21"/>
              </w:rPr>
              <w:t>3) بلغاريا فيها 7 محققي ETS فقط، ومنهم 3 محليون (G&amp;F، SGS Bulgaria، GMI Verify) و4 أجانب يعملون هناك (Emicert وEurocert اليونانيتان، Verifikace CZ وBureau Veritas التشيكيتان). أي أن بديلك الطبيعي في بلغاريا هو SGS Bulgaria (شهادة 11 OB، يناير 2026) — وSGS لها مكتب في الجزائر أصلاً. هذا هو "الشريك ب" الأقوى منطقياً.</w:t>
            </w:r>
          </w:p>
        </w:tc>
      </w:tr>
    </w:tbl>
    <w:p/>
    <w:p>
      <w:pPr>
        <w:pStyle w:val="Heading1"/>
        <w:jc w:val="right"/>
        <w:bidi/>
      </w:pPr>
      <w:r>
        <w:rPr>
          <w:color w:val="A01E1E"/>
        </w:rPr>
        <w:t>0-bis. تحديث 22 سبتمبر: أول من بدأ فعلاً في الجزائر — وهو في عنابة</w:t>
      </w:r>
    </w:p>
    <w:tbl>
      <w:tblPr>
        <w:tblW w:type="auto" w:w="0"/>
        <w:tblLook w:firstColumn="1" w:firstRow="1" w:lastColumn="0" w:lastRow="0" w:noHBand="0" w:noVBand="1" w:val="04A0"/>
        <w:bidiVisual/>
      </w:tblPr>
      <w:tblGrid>
        <w:gridCol w:w="9972"/>
      </w:tblGrid>
      <w:tr>
        <w:tc>
          <w:tcPr>
            <w:tcW w:type="dxa" w:w="9638"/>
            <w:shd w:val="clear" w:color="auto" w:fill="FDECEC"/>
          </w:tcPr>
          <w:p>
            <w:pPr>
              <w:jc w:val="right"/>
              <w:bidi/>
            </w:pPr>
            <w:r/>
            <w:r>
              <w:rPr>
                <w:b/>
                <w:color w:val="A01E1E"/>
                <w:sz w:val="21"/>
              </w:rPr>
              <w:t>يوم 7 سبتمبر 2026 وقّع مجمع Asmidal (Sonatrach) في مقر Fertial اتفاقية-إطار لخمس سنوات + عقد تطبيقي مع مركز البحث في البيئة (CRE) بعنابة — مؤسسة عمومية علمية تابعة لوزارة التعليم العالي، مقرها داخل حرم جامعة باجي مختار (سيدي عمار). الموضوع: إنشاء نظام MRV (قياس/إبلاغ/تحقق) وفق ISO 14064:2018 في مصنعَي Fertial بعنابة وأرزيو "للاستجابة لمتطلبات CBAM وتأمين الصادرات نحو أوروبا". الموقّعان: PDG Asmidal محمد نور الدين بن قادة (جديد — خلف بطوش بوطوبة)، والمديرة العامة للمركز البروفيسورة زهاد (زيهاد) معمشة-بوسلامة (أستاذة إيكولوجيا، على رأس المركز منذ يناير 2019).</w:t>
            </w:r>
          </w:p>
        </w:tc>
      </w:tr>
    </w:tbl>
    <w:p/>
    <w:p>
      <w:pPr>
        <w:jc w:val="right"/>
        <w:bidi/>
      </w:pPr>
      <w:r>
        <w:rPr>
          <w:b/>
          <w:i w:val="0"/>
        </w:rPr>
        <w:t>ماذا يعني هذا بدقة:</w:t>
      </w:r>
    </w:p>
    <w:p>
      <w:pPr>
        <w:pStyle w:val="ListBullet"/>
        <w:jc w:val="right"/>
        <w:bidi/>
      </w:pPr>
      <w:r>
        <w:rPr>
          <w:b/>
        </w:rPr>
        <w:t xml:space="preserve">1. </w:t>
      </w:r>
      <w:r>
        <w:t>الجزائر اختارت — دون إعلان — النموذج "الأكاديمي العمومي" لبناء MRV: مركز بحث جامعي لا مكتب استشارات ولا محقق أجنبي. هذا هو بالضبط النموذج الذي اقترحتَه للوزير (أكاديمية مدققين في جامعة) — لكن جامعة عنابة سبقت جامعة الطارف إليه بعقد موقّع مع أكبر مصدّر أسمدة.</w:t>
      </w:r>
    </w:p>
    <w:p>
      <w:pPr>
        <w:pStyle w:val="ListBullet"/>
        <w:jc w:val="right"/>
        <w:bidi/>
      </w:pPr>
      <w:r>
        <w:rPr>
          <w:b/>
        </w:rPr>
        <w:t xml:space="preserve">2. </w:t>
      </w:r>
      <w:r>
        <w:t>CRE يستطيع بناء نظام MRV والقياس، لكنه لا يستطيع إصدار رأي تحقق CBAM: ليس معتمداً ISO 14065/17029 لدى أي هيئة أوروبية، ولا يمكن أن يكون (مبدأ الاستقلالية: من يبني النظام لا يحققه). أي أن Fertial ستحتاج في 2027 محققاً أوروبياً معتمداً حتماً — وهذه هي فجوتك، لا فجوة CRE.</w:t>
      </w:r>
    </w:p>
    <w:p>
      <w:pPr>
        <w:pStyle w:val="ListBullet"/>
        <w:jc w:val="right"/>
        <w:bidi/>
      </w:pPr>
      <w:r>
        <w:rPr>
          <w:b/>
        </w:rPr>
        <w:t xml:space="preserve">3. </w:t>
      </w:r>
      <w:r>
        <w:t>هدفك الأول (Fertial) لم يعد "فارغاً": هناك الآن جهة عمومية وسيطة تملك العلاقة. الدخول إلى Fertial من الباب الأمامي بعد اليوم يعني الاصطدام بـ CRE؛ الدخول عبر CRE يعني الشراكة.</w:t>
      </w:r>
    </w:p>
    <w:p>
      <w:pPr>
        <w:pStyle w:val="ListBullet"/>
        <w:jc w:val="right"/>
        <w:bidi/>
      </w:pPr>
      <w:r>
        <w:rPr>
          <w:b/>
        </w:rPr>
        <w:t xml:space="preserve">4. </w:t>
      </w:r>
      <w:r>
        <w:t>الفرصة المعكوسة: CRE سيحتاج خلال 12 شهراً شريكاً يعرف قواعد التحقق الأوروبية (2018/2067، IR 2025/2546، 5% materiality) ومحققاً معتمداً يقبل تقرير MRV الذي يبنيه. أنت + محقق أوروبي = القطعة الناقصة في عقدهم. اعرض على البروفيسورة بوسلامة "اتفاقية جامعة-إلى-جامعة" (الطارف–عنابة) لا منافسة.</w:t>
      </w:r>
    </w:p>
    <w:p>
      <w:pPr>
        <w:pStyle w:val="ListBullet"/>
        <w:jc w:val="right"/>
        <w:bidi/>
      </w:pPr>
      <w:r>
        <w:rPr>
          <w:b/>
        </w:rPr>
        <w:t xml:space="preserve">5. </w:t>
      </w:r>
      <w:r>
        <w:t>أعد ترتيب خطواتك: (أ) إيميل رسمي من جامعة الطارف إلى CRE هذا الأسبوع يقترح لقاءً حول "التحقق المستقل المعتمد كمرحلة تالية لنظام MRV"؛ (ب) أخبر أنطون (أو Eurocert/RINA) بأن أول عقد MRV جزائري وُقّع وأن الطلب على محقق معتمد صار مؤكداً لعام 2027 — هذا يرفع قيمتك التفاوضية؛ (ج) في مذكرة الوزير، اذكر اتفاق Asmidal–CRE كدليل على أن "الحلقة الناقصة هي الاعتماد الأوروبي للتحقق، لا القياس".</w:t>
      </w:r>
    </w:p>
    <w:tbl>
      <w:tblPr>
        <w:tblStyle w:val="TableGrid"/>
        <w:tblW w:type="auto" w:w="0"/>
        <w:tblLook w:firstColumn="1" w:firstRow="1" w:lastColumn="0" w:lastRow="0" w:noHBand="0" w:noVBand="1" w:val="04A0"/>
        <w:bidiVisual/>
      </w:tblPr>
      <w:tblGrid>
        <w:gridCol w:w="3324"/>
        <w:gridCol w:w="3324"/>
        <w:gridCol w:w="3324"/>
      </w:tblGrid>
      <w:tr>
        <w:tc>
          <w:tcPr>
            <w:tcW w:type="dxa" w:w="2835"/>
            <w:shd w:val="clear" w:color="auto" w:fill="1F3A5F"/>
          </w:tcPr>
          <w:p>
            <w:pPr>
              <w:jc w:val="right"/>
              <w:bidi/>
            </w:pPr>
            <w:r/>
            <w:r>
              <w:rPr>
                <w:b/>
                <w:color w:val="FFFFFF"/>
                <w:sz w:val="18"/>
              </w:rPr>
              <w:t>الجهة</w:t>
            </w:r>
          </w:p>
        </w:tc>
        <w:tc>
          <w:tcPr>
            <w:tcW w:type="dxa" w:w="2835"/>
            <w:shd w:val="clear" w:color="auto" w:fill="1F3A5F"/>
          </w:tcPr>
          <w:p>
            <w:pPr>
              <w:jc w:val="right"/>
              <w:bidi/>
            </w:pPr>
            <w:r/>
            <w:r>
              <w:rPr>
                <w:b/>
                <w:color w:val="FFFFFF"/>
                <w:sz w:val="18"/>
              </w:rPr>
              <w:t>الأشخاص</w:t>
            </w:r>
          </w:p>
        </w:tc>
        <w:tc>
          <w:tcPr>
            <w:tcW w:type="dxa" w:w="3685"/>
            <w:shd w:val="clear" w:color="auto" w:fill="1F3A5F"/>
          </w:tcPr>
          <w:p>
            <w:pPr>
              <w:jc w:val="right"/>
              <w:bidi/>
            </w:pPr>
            <w:r/>
            <w:r>
              <w:rPr>
                <w:b/>
                <w:color w:val="FFFFFF"/>
                <w:sz w:val="18"/>
              </w:rPr>
              <w:t>التقييم</w:t>
            </w:r>
          </w:p>
        </w:tc>
      </w:tr>
      <w:tr>
        <w:tc>
          <w:tcPr>
            <w:tcW w:type="dxa" w:w="2835"/>
          </w:tcPr>
          <w:p>
            <w:pPr>
              <w:jc w:val="right"/>
              <w:bidi/>
            </w:pPr>
            <w:r/>
            <w:r>
              <w:rPr>
                <w:sz w:val="18"/>
              </w:rPr>
              <w:t>CRE — مركز البحث في البيئة، عنابة (EPST، وزارة التعليم العالي/DGRSDT)</w:t>
            </w:r>
          </w:p>
        </w:tc>
        <w:tc>
          <w:tcPr>
            <w:tcW w:type="dxa" w:w="2835"/>
          </w:tcPr>
          <w:p>
            <w:pPr>
              <w:jc w:val="right"/>
              <w:bidi/>
            </w:pPr>
            <w:r/>
            <w:r>
              <w:rPr>
                <w:sz w:val="18"/>
              </w:rPr>
              <w:t>المديرة العامة: البروفيسورة زهاد معمشة-بوسلامة؛ باحثون: عيسى بن صلحوب وغيره (cre.dz)</w:t>
            </w:r>
          </w:p>
        </w:tc>
        <w:tc>
          <w:tcPr>
            <w:tcW w:type="dxa" w:w="3685"/>
          </w:tcPr>
          <w:p>
            <w:pPr>
              <w:jc w:val="right"/>
              <w:bidi/>
            </w:pPr>
            <w:r/>
            <w:r>
              <w:rPr>
                <w:sz w:val="18"/>
              </w:rPr>
              <w:t>أول فاعل جزائري بعقد MRV/CBAM موقّع. شريك لا منافس. غير معتمد للتحقق.</w:t>
            </w:r>
          </w:p>
        </w:tc>
      </w:tr>
      <w:tr>
        <w:tc>
          <w:tcPr>
            <w:tcW w:type="dxa" w:w="2835"/>
          </w:tcPr>
          <w:p>
            <w:pPr>
              <w:jc w:val="right"/>
              <w:bidi/>
            </w:pPr>
            <w:r/>
            <w:r>
              <w:rPr>
                <w:sz w:val="18"/>
              </w:rPr>
              <w:t>Asmidal (Sonatrach)</w:t>
            </w:r>
          </w:p>
        </w:tc>
        <w:tc>
          <w:tcPr>
            <w:tcW w:type="dxa" w:w="2835"/>
          </w:tcPr>
          <w:p>
            <w:pPr>
              <w:jc w:val="right"/>
              <w:bidi/>
            </w:pPr>
            <w:r/>
            <w:r>
              <w:rPr>
                <w:sz w:val="18"/>
              </w:rPr>
              <w:t>PDG الجديد: محمد نور الدين بن قادة</w:t>
            </w:r>
          </w:p>
        </w:tc>
        <w:tc>
          <w:tcPr>
            <w:tcW w:type="dxa" w:w="3685"/>
          </w:tcPr>
          <w:p>
            <w:pPr>
              <w:jc w:val="right"/>
              <w:bidi/>
            </w:pPr>
            <w:r/>
            <w:r>
              <w:rPr>
                <w:sz w:val="18"/>
              </w:rPr>
              <w:t>صاحب القرار الفعلي لـ Fertial. اختار مساراً عمومياً-أكاديمياً؛ سيقبل بسهولة جامعة ثانية.</w:t>
            </w:r>
          </w:p>
        </w:tc>
      </w:tr>
      <w:tr>
        <w:tc>
          <w:tcPr>
            <w:tcW w:type="dxa" w:w="2835"/>
          </w:tcPr>
          <w:p>
            <w:pPr>
              <w:jc w:val="right"/>
              <w:bidi/>
            </w:pPr>
            <w:r/>
            <w:r>
              <w:rPr>
                <w:sz w:val="18"/>
              </w:rPr>
              <w:t>Général Emballage (بجاية)</w:t>
            </w:r>
          </w:p>
        </w:tc>
        <w:tc>
          <w:tcPr>
            <w:tcW w:type="dxa" w:w="2835"/>
          </w:tcPr>
          <w:p>
            <w:pPr>
              <w:jc w:val="right"/>
              <w:bidi/>
            </w:pPr>
            <w:r/>
            <w:r>
              <w:rPr>
                <w:sz w:val="18"/>
              </w:rPr>
              <w:t>—</w:t>
            </w:r>
          </w:p>
        </w:tc>
        <w:tc>
          <w:tcPr>
            <w:tcW w:type="dxa" w:w="3685"/>
          </w:tcPr>
          <w:p>
            <w:pPr>
              <w:jc w:val="right"/>
              <w:bidi/>
            </w:pPr>
            <w:r/>
            <w:r>
              <w:rPr>
                <w:sz w:val="18"/>
              </w:rPr>
              <w:t>أول شركة جزائرية نشرت بصمة كربونية كاملة معتمدة GHG Protocol (2025). ليست في نطاق CBAM لكنها مرجع محلي.</w:t>
            </w:r>
          </w:p>
        </w:tc>
      </w:tr>
      <w:tr>
        <w:tc>
          <w:tcPr>
            <w:tcW w:type="dxa" w:w="2835"/>
          </w:tcPr>
          <w:p>
            <w:pPr>
              <w:jc w:val="right"/>
              <w:bidi/>
            </w:pPr>
            <w:r/>
            <w:r>
              <w:rPr>
                <w:sz w:val="18"/>
              </w:rPr>
              <w:t>SGS/BV/TÜV في الجزائر</w:t>
            </w:r>
          </w:p>
        </w:tc>
        <w:tc>
          <w:tcPr>
            <w:tcW w:type="dxa" w:w="2835"/>
          </w:tcPr>
          <w:p>
            <w:pPr>
              <w:jc w:val="right"/>
              <w:bidi/>
            </w:pPr>
            <w:r/>
            <w:r>
              <w:rPr>
                <w:sz w:val="18"/>
              </w:rPr>
              <w:t>—</w:t>
            </w:r>
          </w:p>
        </w:tc>
        <w:tc>
          <w:tcPr>
            <w:tcW w:type="dxa" w:w="3685"/>
          </w:tcPr>
          <w:p>
            <w:pPr>
              <w:jc w:val="right"/>
              <w:bidi/>
            </w:pPr>
            <w:r/>
            <w:r>
              <w:rPr>
                <w:sz w:val="18"/>
              </w:rPr>
              <w:t>لا أثر علنياً لأي عقد CBAM جزائري موقّع معهم حتى 22/09/2026.</w:t>
            </w:r>
          </w:p>
        </w:tc>
      </w:tr>
    </w:tbl>
    <w:p/>
    <w:p>
      <w:pPr>
        <w:pStyle w:val="Heading1"/>
        <w:jc w:val="right"/>
        <w:bidi/>
      </w:pPr>
      <w:r>
        <w:rPr>
          <w:color w:val="1F3A5F"/>
        </w:rPr>
        <w:t>1. الطبقة الأوروبية: من يملك مفاتيح الاعتماد</w:t>
      </w:r>
    </w:p>
    <w:tbl>
      <w:tblPr>
        <w:tblStyle w:val="TableGrid"/>
        <w:tblW w:type="auto" w:w="0"/>
        <w:tblLook w:firstColumn="1" w:firstRow="1" w:lastColumn="0" w:lastRow="0" w:noHBand="0" w:noVBand="1" w:val="04A0"/>
        <w:bidiVisual/>
      </w:tblPr>
      <w:tblGrid>
        <w:gridCol w:w="3324"/>
        <w:gridCol w:w="3324"/>
        <w:gridCol w:w="3324"/>
      </w:tblGrid>
      <w:tr>
        <w:tc>
          <w:tcPr>
            <w:tcW w:type="dxa" w:w="2041"/>
            <w:shd w:val="clear" w:color="auto" w:fill="1F3A5F"/>
          </w:tcPr>
          <w:p>
            <w:pPr>
              <w:jc w:val="right"/>
              <w:bidi/>
            </w:pPr>
            <w:r/>
            <w:r>
              <w:rPr>
                <w:b/>
                <w:color w:val="FFFFFF"/>
                <w:sz w:val="18"/>
              </w:rPr>
              <w:t>الجهة</w:t>
            </w:r>
          </w:p>
        </w:tc>
        <w:tc>
          <w:tcPr>
            <w:tcW w:type="dxa" w:w="3742"/>
            <w:shd w:val="clear" w:color="auto" w:fill="1F3A5F"/>
          </w:tcPr>
          <w:p>
            <w:pPr>
              <w:jc w:val="right"/>
              <w:bidi/>
            </w:pPr>
            <w:r/>
            <w:r>
              <w:rPr>
                <w:b/>
                <w:color w:val="FFFFFF"/>
                <w:sz w:val="18"/>
              </w:rPr>
              <w:t>الدور الفعلي</w:t>
            </w:r>
          </w:p>
        </w:tc>
        <w:tc>
          <w:tcPr>
            <w:tcW w:type="dxa" w:w="3572"/>
            <w:shd w:val="clear" w:color="auto" w:fill="1F3A5F"/>
          </w:tcPr>
          <w:p>
            <w:pPr>
              <w:jc w:val="right"/>
              <w:bidi/>
            </w:pPr>
            <w:r/>
            <w:r>
              <w:rPr>
                <w:b/>
                <w:color w:val="FFFFFF"/>
                <w:sz w:val="18"/>
              </w:rPr>
              <w:t>ما يهمك مباشرة</w:t>
            </w:r>
          </w:p>
        </w:tc>
      </w:tr>
      <w:tr>
        <w:tc>
          <w:tcPr>
            <w:tcW w:type="dxa" w:w="2041"/>
          </w:tcPr>
          <w:p>
            <w:pPr>
              <w:jc w:val="right"/>
              <w:bidi/>
            </w:pPr>
            <w:r/>
            <w:r>
              <w:rPr>
                <w:sz w:val="18"/>
              </w:rPr>
              <w:t>DG TAXUD (المفوضية)</w:t>
            </w:r>
          </w:p>
        </w:tc>
        <w:tc>
          <w:tcPr>
            <w:tcW w:type="dxa" w:w="3742"/>
          </w:tcPr>
          <w:p>
            <w:pPr>
              <w:jc w:val="right"/>
              <w:bidi/>
            </w:pPr>
            <w:r/>
            <w:r>
              <w:rPr>
                <w:sz w:val="18"/>
              </w:rPr>
              <w:t>تنشر قائمة المحققين المعتمدين (متوقعة سبتمبر–أكتوبر 2026)؛ صفحة "Verification of CBAM emissions" (30/06/2026)؛ سجل CBAM يفتح للمحققين 01/09/2026.</w:t>
            </w:r>
          </w:p>
        </w:tc>
        <w:tc>
          <w:tcPr>
            <w:tcW w:type="dxa" w:w="3572"/>
          </w:tcPr>
          <w:p>
            <w:pPr>
              <w:jc w:val="right"/>
              <w:bidi/>
            </w:pPr>
            <w:r/>
            <w:r>
              <w:rPr>
                <w:sz w:val="18"/>
              </w:rPr>
              <w:t>راقب القائمة أسبوعياً. غياب G&amp;F عنها في أول 3 أشهر = إشارة سلبية.</w:t>
            </w:r>
          </w:p>
        </w:tc>
      </w:tr>
      <w:tr>
        <w:tc>
          <w:tcPr>
            <w:tcW w:type="dxa" w:w="2041"/>
          </w:tcPr>
          <w:p>
            <w:pPr>
              <w:jc w:val="right"/>
              <w:bidi/>
            </w:pPr>
            <w:r/>
            <w:r>
              <w:rPr>
                <w:sz w:val="18"/>
              </w:rPr>
              <w:t>هيئات الاعتماد الوطنية (24 هيئة)</w:t>
            </w:r>
          </w:p>
        </w:tc>
        <w:tc>
          <w:tcPr>
            <w:tcW w:type="dxa" w:w="3742"/>
          </w:tcPr>
          <w:p>
            <w:pPr>
              <w:jc w:val="right"/>
              <w:bidi/>
            </w:pPr>
            <w:r/>
            <w:r>
              <w:rPr>
                <w:sz w:val="18"/>
              </w:rPr>
              <w:t>11 فقط جاهزة لقبول الطلبات (يوليو 2026). 7 توافق على اعتماد هيئات من خارج الاتحاد؛ 4 تقبل طلباتها فعلاً: Accredia (إيطاليا)، RvA (هولندا)، Swedac (السويد)، PCA (بولندا).</w:t>
            </w:r>
          </w:p>
        </w:tc>
        <w:tc>
          <w:tcPr>
            <w:tcW w:type="dxa" w:w="3572"/>
          </w:tcPr>
          <w:p>
            <w:pPr>
              <w:jc w:val="right"/>
              <w:bidi/>
            </w:pPr>
            <w:r/>
            <w:r>
              <w:rPr>
                <w:sz w:val="18"/>
              </w:rPr>
              <w:t>هذا هو الباب الوحيد لهيئة جزائرية مستقبلاً — عبر Accredia أو RvA، لا عبر ALGERAC. ضعه في مذكرة الوزير كخطوة 2029+.</w:t>
            </w:r>
          </w:p>
        </w:tc>
      </w:tr>
      <w:tr>
        <w:tc>
          <w:tcPr>
            <w:tcW w:type="dxa" w:w="2041"/>
          </w:tcPr>
          <w:p>
            <w:pPr>
              <w:jc w:val="right"/>
              <w:bidi/>
            </w:pPr>
            <w:r/>
            <w:r>
              <w:rPr>
                <w:sz w:val="18"/>
              </w:rPr>
              <w:t>BAS (بلغاريا)</w:t>
            </w:r>
          </w:p>
        </w:tc>
        <w:tc>
          <w:tcPr>
            <w:tcW w:type="dxa" w:w="3742"/>
          </w:tcPr>
          <w:p>
            <w:pPr>
              <w:jc w:val="right"/>
              <w:bidi/>
            </w:pPr>
            <w:r/>
            <w:r>
              <w:rPr>
                <w:sz w:val="18"/>
              </w:rPr>
              <w:t>تقبل طلبات CBAM. لم تظهر بعد على قائمة EA للأقران المعتمدين لنطاق CBAM.</w:t>
            </w:r>
          </w:p>
        </w:tc>
        <w:tc>
          <w:tcPr>
            <w:tcW w:type="dxa" w:w="3572"/>
          </w:tcPr>
          <w:p>
            <w:pPr>
              <w:jc w:val="right"/>
              <w:bidi/>
            </w:pPr>
            <w:r/>
            <w:r>
              <w:rPr>
                <w:sz w:val="18"/>
              </w:rPr>
              <w:t>خطر: إن تأخّر تقييم الأقران لـ BAS، تتأخر كل المحققين البلغار معاً.</w:t>
            </w:r>
          </w:p>
        </w:tc>
      </w:tr>
      <w:tr>
        <w:tc>
          <w:tcPr>
            <w:tcW w:type="dxa" w:w="2041"/>
          </w:tcPr>
          <w:p>
            <w:pPr>
              <w:jc w:val="right"/>
              <w:bidi/>
            </w:pPr>
            <w:r/>
            <w:r>
              <w:rPr>
                <w:sz w:val="18"/>
              </w:rPr>
              <w:t>COFRAC (فرنسا)</w:t>
            </w:r>
          </w:p>
        </w:tc>
        <w:tc>
          <w:tcPr>
            <w:tcW w:type="dxa" w:w="3742"/>
          </w:tcPr>
          <w:p>
            <w:pPr>
              <w:jc w:val="right"/>
              <w:bidi/>
            </w:pPr>
            <w:r/>
            <w:r>
              <w:rPr>
                <w:sz w:val="18"/>
              </w:rPr>
              <w:t>توافق على اعتماد هيئات خارجية لكنها لم تفتح القبول بعد (يوليو 2026).</w:t>
            </w:r>
          </w:p>
        </w:tc>
        <w:tc>
          <w:tcPr>
            <w:tcW w:type="dxa" w:w="3572"/>
          </w:tcPr>
          <w:p>
            <w:pPr>
              <w:jc w:val="right"/>
              <w:bidi/>
            </w:pPr>
            <w:r/>
            <w:r>
              <w:rPr>
                <w:sz w:val="18"/>
              </w:rPr>
              <w:t>مسار الفرنكوفونية الطبيعي للجزائر — لكنه أبطأ.</w:t>
            </w:r>
          </w:p>
        </w:tc>
      </w:tr>
      <w:tr>
        <w:tc>
          <w:tcPr>
            <w:tcW w:type="dxa" w:w="2041"/>
          </w:tcPr>
          <w:p>
            <w:pPr>
              <w:jc w:val="right"/>
              <w:bidi/>
            </w:pPr>
            <w:r/>
            <w:r>
              <w:rPr>
                <w:sz w:val="18"/>
              </w:rPr>
              <w:t>European Accreditation (EA)</w:t>
            </w:r>
          </w:p>
        </w:tc>
        <w:tc>
          <w:tcPr>
            <w:tcW w:type="dxa" w:w="3742"/>
          </w:tcPr>
          <w:p>
            <w:pPr>
              <w:jc w:val="right"/>
              <w:bidi/>
            </w:pPr>
            <w:r/>
            <w:r>
              <w:rPr>
                <w:sz w:val="18"/>
              </w:rPr>
              <w:t>تقييم الأقران؛ قاعدة بيانات الهيئات المعتمدة.</w:t>
            </w:r>
          </w:p>
        </w:tc>
        <w:tc>
          <w:tcPr>
            <w:tcW w:type="dxa" w:w="3572"/>
          </w:tcPr>
          <w:p>
            <w:pPr>
              <w:jc w:val="right"/>
              <w:bidi/>
            </w:pPr>
            <w:r/>
            <w:r>
              <w:rPr>
                <w:sz w:val="18"/>
              </w:rPr>
              <w:t>مرجع التحقق من أي محقق يدّعي الاعتماد.</w:t>
            </w:r>
          </w:p>
        </w:tc>
      </w:tr>
    </w:tbl>
    <w:p/>
    <w:p>
      <w:pPr>
        <w:pStyle w:val="Heading1"/>
        <w:jc w:val="right"/>
        <w:bidi/>
      </w:pPr>
      <w:r>
        <w:rPr>
          <w:color w:val="1F3A5F"/>
        </w:rPr>
        <w:t>2. المحققون الدوليون (منافسو الشريك ومنافسوك)</w:t>
      </w:r>
    </w:p>
    <w:tbl>
      <w:tblPr>
        <w:tblStyle w:val="TableGrid"/>
        <w:tblW w:type="auto" w:w="0"/>
        <w:tblLook w:firstColumn="1" w:firstRow="1" w:lastColumn="0" w:lastRow="0" w:noHBand="0" w:noVBand="1" w:val="04A0"/>
        <w:bidiVisual/>
      </w:tblPr>
      <w:tblGrid>
        <w:gridCol w:w="2493"/>
        <w:gridCol w:w="2493"/>
        <w:gridCol w:w="2493"/>
        <w:gridCol w:w="2493"/>
      </w:tblGrid>
      <w:tr>
        <w:tc>
          <w:tcPr>
            <w:tcW w:type="dxa" w:w="1587"/>
            <w:shd w:val="clear" w:color="auto" w:fill="1F3A5F"/>
          </w:tcPr>
          <w:p>
            <w:pPr>
              <w:jc w:val="right"/>
              <w:bidi/>
            </w:pPr>
            <w:r/>
            <w:r>
              <w:rPr>
                <w:b/>
                <w:color w:val="FFFFFF"/>
                <w:sz w:val="18"/>
              </w:rPr>
              <w:t>الجهة</w:t>
            </w:r>
          </w:p>
        </w:tc>
        <w:tc>
          <w:tcPr>
            <w:tcW w:type="dxa" w:w="2948"/>
            <w:shd w:val="clear" w:color="auto" w:fill="1F3A5F"/>
          </w:tcPr>
          <w:p>
            <w:pPr>
              <w:jc w:val="right"/>
              <w:bidi/>
            </w:pPr>
            <w:r/>
            <w:r>
              <w:rPr>
                <w:b/>
                <w:color w:val="FFFFFF"/>
                <w:sz w:val="18"/>
              </w:rPr>
              <w:t>وضع CBAM (سبتمبر 2026)</w:t>
            </w:r>
          </w:p>
        </w:tc>
        <w:tc>
          <w:tcPr>
            <w:tcW w:type="dxa" w:w="2268"/>
            <w:shd w:val="clear" w:color="auto" w:fill="1F3A5F"/>
          </w:tcPr>
          <w:p>
            <w:pPr>
              <w:jc w:val="right"/>
              <w:bidi/>
            </w:pPr>
            <w:r/>
            <w:r>
              <w:rPr>
                <w:b/>
                <w:color w:val="FFFFFF"/>
                <w:sz w:val="18"/>
              </w:rPr>
              <w:t>الحضور المغاربي/الجزائري</w:t>
            </w:r>
          </w:p>
        </w:tc>
        <w:tc>
          <w:tcPr>
            <w:tcW w:type="dxa" w:w="2551"/>
            <w:shd w:val="clear" w:color="auto" w:fill="1F3A5F"/>
          </w:tcPr>
          <w:p>
            <w:pPr>
              <w:jc w:val="right"/>
              <w:bidi/>
            </w:pPr>
            <w:r/>
            <w:r>
              <w:rPr>
                <w:b/>
                <w:color w:val="FFFFFF"/>
                <w:sz w:val="18"/>
              </w:rPr>
              <w:t>التقييم</w:t>
            </w:r>
          </w:p>
        </w:tc>
      </w:tr>
      <w:tr>
        <w:tc>
          <w:tcPr>
            <w:tcW w:type="dxa" w:w="1587"/>
          </w:tcPr>
          <w:p>
            <w:pPr>
              <w:jc w:val="right"/>
              <w:bidi/>
            </w:pPr>
            <w:r/>
            <w:r>
              <w:rPr>
                <w:sz w:val="18"/>
              </w:rPr>
              <w:t>SGS</w:t>
            </w:r>
          </w:p>
        </w:tc>
        <w:tc>
          <w:tcPr>
            <w:tcW w:type="dxa" w:w="2948"/>
          </w:tcPr>
          <w:p>
            <w:pPr>
              <w:jc w:val="right"/>
              <w:bidi/>
            </w:pPr>
            <w:r/>
            <w:r>
              <w:rPr>
                <w:sz w:val="18"/>
              </w:rPr>
              <w:t>معتمد ETS في عدة دول؛ يعتزم توسيع ISO 17029 إلى CBAM؛ يبيع "pre-verification" في المغرب/الجزائر؛ SGS Bulgaria معتمد BAS (11 OB).</w:t>
            </w:r>
          </w:p>
        </w:tc>
        <w:tc>
          <w:tcPr>
            <w:tcW w:type="dxa" w:w="2268"/>
          </w:tcPr>
          <w:p>
            <w:pPr>
              <w:jc w:val="right"/>
              <w:bidi/>
            </w:pPr>
            <w:r/>
            <w:r>
              <w:rPr>
                <w:sz w:val="18"/>
              </w:rPr>
              <w:t>SGS Algérie (الأبيار)، SGS Maroc، SGS Tunisie.</w:t>
            </w:r>
          </w:p>
        </w:tc>
        <w:tc>
          <w:tcPr>
            <w:tcW w:type="dxa" w:w="2551"/>
          </w:tcPr>
          <w:p>
            <w:pPr>
              <w:jc w:val="right"/>
              <w:bidi/>
            </w:pPr>
            <w:r/>
            <w:r>
              <w:rPr>
                <w:sz w:val="18"/>
              </w:rPr>
              <w:t>الشريك ب الأول. نقطة الضعف: شركة ضخمة، لن تمنحك عمولة إحالة سخية ولا حصرية.</w:t>
            </w:r>
          </w:p>
        </w:tc>
      </w:tr>
      <w:tr>
        <w:tc>
          <w:tcPr>
            <w:tcW w:type="dxa" w:w="1587"/>
          </w:tcPr>
          <w:p>
            <w:pPr>
              <w:jc w:val="right"/>
              <w:bidi/>
            </w:pPr>
            <w:r/>
            <w:r>
              <w:rPr>
                <w:sz w:val="18"/>
              </w:rPr>
              <w:t>Bureau Veritas</w:t>
            </w:r>
          </w:p>
        </w:tc>
        <w:tc>
          <w:tcPr>
            <w:tcW w:type="dxa" w:w="2948"/>
          </w:tcPr>
          <w:p>
            <w:pPr>
              <w:jc w:val="right"/>
              <w:bidi/>
            </w:pPr>
            <w:r/>
            <w:r>
              <w:rPr>
                <w:sz w:val="18"/>
              </w:rPr>
              <w:t>طالب اعتماد؛ يبيع "pré-visite CBAM" بمدققين محليين؛ BV Czech معتمد ETS يعمل في بلغاريا.</w:t>
            </w:r>
          </w:p>
        </w:tc>
        <w:tc>
          <w:tcPr>
            <w:tcW w:type="dxa" w:w="2268"/>
          </w:tcPr>
          <w:p>
            <w:pPr>
              <w:jc w:val="right"/>
              <w:bidi/>
            </w:pPr>
            <w:r/>
            <w:r>
              <w:rPr>
                <w:sz w:val="18"/>
              </w:rPr>
              <w:t>BV Algérie (حيدرة) — أقوى مكتب TIC في الجزائر.</w:t>
            </w:r>
          </w:p>
        </w:tc>
        <w:tc>
          <w:tcPr>
            <w:tcW w:type="dxa" w:w="2551"/>
          </w:tcPr>
          <w:p>
            <w:pPr>
              <w:jc w:val="right"/>
              <w:bidi/>
            </w:pPr>
            <w:r/>
            <w:r>
              <w:rPr>
                <w:sz w:val="18"/>
              </w:rPr>
              <w:t>المنافس الأخطر ميدانياً في 2027. سيتعاقد مع Sonatrach مباشرة على الأرجح.</w:t>
            </w:r>
          </w:p>
        </w:tc>
      </w:tr>
      <w:tr>
        <w:tc>
          <w:tcPr>
            <w:tcW w:type="dxa" w:w="1587"/>
          </w:tcPr>
          <w:p>
            <w:pPr>
              <w:jc w:val="right"/>
              <w:bidi/>
            </w:pPr>
            <w:r/>
            <w:r>
              <w:rPr>
                <w:sz w:val="18"/>
              </w:rPr>
              <w:t>TÜV Rheinland</w:t>
            </w:r>
          </w:p>
        </w:tc>
        <w:tc>
          <w:tcPr>
            <w:tcW w:type="dxa" w:w="2948"/>
          </w:tcPr>
          <w:p>
            <w:pPr>
              <w:jc w:val="right"/>
              <w:bidi/>
            </w:pPr>
            <w:r/>
            <w:r>
              <w:rPr>
                <w:sz w:val="18"/>
              </w:rPr>
              <w:t>يعلن نفسه "هيئة تحقق معتمدة" ويقدّم تحققاً CBAM كاملاً.</w:t>
            </w:r>
          </w:p>
        </w:tc>
        <w:tc>
          <w:tcPr>
            <w:tcW w:type="dxa" w:w="2268"/>
          </w:tcPr>
          <w:p>
            <w:pPr>
              <w:jc w:val="right"/>
              <w:bidi/>
            </w:pPr>
            <w:r/>
            <w:r>
              <w:rPr>
                <w:sz w:val="18"/>
              </w:rPr>
              <w:t>TÜV Group Algeria (حيدرة).</w:t>
            </w:r>
          </w:p>
        </w:tc>
        <w:tc>
          <w:tcPr>
            <w:tcW w:type="dxa" w:w="2551"/>
          </w:tcPr>
          <w:p>
            <w:pPr>
              <w:jc w:val="right"/>
              <w:bidi/>
            </w:pPr>
            <w:r/>
            <w:r>
              <w:rPr>
                <w:sz w:val="18"/>
              </w:rPr>
              <w:t>منافس ثانٍ.</w:t>
            </w:r>
          </w:p>
        </w:tc>
      </w:tr>
      <w:tr>
        <w:tc>
          <w:tcPr>
            <w:tcW w:type="dxa" w:w="1587"/>
          </w:tcPr>
          <w:p>
            <w:pPr>
              <w:jc w:val="right"/>
              <w:bidi/>
            </w:pPr>
            <w:r/>
            <w:r>
              <w:rPr>
                <w:sz w:val="18"/>
              </w:rPr>
              <w:t>TÜV NORD / TÜV SÜD</w:t>
            </w:r>
          </w:p>
        </w:tc>
        <w:tc>
          <w:tcPr>
            <w:tcW w:type="dxa" w:w="2948"/>
          </w:tcPr>
          <w:p>
            <w:pPr>
              <w:jc w:val="right"/>
              <w:bidi/>
            </w:pPr>
            <w:r/>
            <w:r>
              <w:rPr>
                <w:sz w:val="18"/>
              </w:rPr>
              <w:t>طالبا اعتماد.</w:t>
            </w:r>
          </w:p>
        </w:tc>
        <w:tc>
          <w:tcPr>
            <w:tcW w:type="dxa" w:w="2268"/>
          </w:tcPr>
          <w:p>
            <w:pPr>
              <w:jc w:val="right"/>
              <w:bidi/>
            </w:pPr>
            <w:r/>
            <w:r>
              <w:rPr>
                <w:sz w:val="18"/>
              </w:rPr>
              <w:t>ضعيف في الجزائر.</w:t>
            </w:r>
          </w:p>
        </w:tc>
        <w:tc>
          <w:tcPr>
            <w:tcW w:type="dxa" w:w="2551"/>
          </w:tcPr>
          <w:p>
            <w:pPr>
              <w:jc w:val="right"/>
              <w:bidi/>
            </w:pPr>
            <w:r/>
            <w:r>
              <w:rPr>
                <w:sz w:val="18"/>
              </w:rPr>
              <w:t>ثانوي.</w:t>
            </w:r>
          </w:p>
        </w:tc>
      </w:tr>
      <w:tr>
        <w:tc>
          <w:tcPr>
            <w:tcW w:type="dxa" w:w="1587"/>
          </w:tcPr>
          <w:p>
            <w:pPr>
              <w:jc w:val="right"/>
              <w:bidi/>
            </w:pPr>
            <w:r/>
            <w:r>
              <w:rPr>
                <w:sz w:val="18"/>
              </w:rPr>
              <w:t>DNV</w:t>
            </w:r>
          </w:p>
        </w:tc>
        <w:tc>
          <w:tcPr>
            <w:tcW w:type="dxa" w:w="2948"/>
          </w:tcPr>
          <w:p>
            <w:pPr>
              <w:jc w:val="right"/>
              <w:bidi/>
            </w:pPr>
            <w:r/>
            <w:r>
              <w:rPr>
                <w:sz w:val="18"/>
              </w:rPr>
              <w:t>اعتمادات GHG عالمية؛ منصة Veracity؛ تحقق عن بُعد.</w:t>
            </w:r>
          </w:p>
        </w:tc>
        <w:tc>
          <w:tcPr>
            <w:tcW w:type="dxa" w:w="2268"/>
          </w:tcPr>
          <w:p>
            <w:pPr>
              <w:jc w:val="right"/>
              <w:bidi/>
            </w:pPr>
            <w:r/>
            <w:r>
              <w:rPr>
                <w:sz w:val="18"/>
              </w:rPr>
              <w:t>لا مكتب جزائري نشط.</w:t>
            </w:r>
          </w:p>
        </w:tc>
        <w:tc>
          <w:tcPr>
            <w:tcW w:type="dxa" w:w="2551"/>
          </w:tcPr>
          <w:p>
            <w:pPr>
              <w:jc w:val="right"/>
              <w:bidi/>
            </w:pPr>
            <w:r/>
            <w:r>
              <w:rPr>
                <w:sz w:val="18"/>
              </w:rPr>
              <w:t>هامشي.</w:t>
            </w:r>
          </w:p>
        </w:tc>
      </w:tr>
      <w:tr>
        <w:tc>
          <w:tcPr>
            <w:tcW w:type="dxa" w:w="1587"/>
          </w:tcPr>
          <w:p>
            <w:pPr>
              <w:jc w:val="right"/>
              <w:bidi/>
            </w:pPr>
            <w:r/>
            <w:r>
              <w:rPr>
                <w:sz w:val="18"/>
              </w:rPr>
              <w:t>RINA (إيطاليا)</w:t>
            </w:r>
          </w:p>
        </w:tc>
        <w:tc>
          <w:tcPr>
            <w:tcW w:type="dxa" w:w="2948"/>
          </w:tcPr>
          <w:p>
            <w:pPr>
              <w:jc w:val="right"/>
              <w:bidi/>
            </w:pPr>
            <w:r/>
            <w:r>
              <w:rPr>
                <w:sz w:val="18"/>
              </w:rPr>
              <w:t>معتمد ETS لدى Accredia؛ يعلن تحققاً رسمياً من يناير 2027؛ pre-verification في 2026.</w:t>
            </w:r>
          </w:p>
        </w:tc>
        <w:tc>
          <w:tcPr>
            <w:tcW w:type="dxa" w:w="2268"/>
          </w:tcPr>
          <w:p>
            <w:pPr>
              <w:jc w:val="right"/>
              <w:bidi/>
            </w:pPr>
            <w:r/>
            <w:r>
              <w:rPr>
                <w:sz w:val="18"/>
              </w:rPr>
              <w:t>لا مكتب — لكن إيطاليا هي المشتري الأول للحديد والأمونيا الجزائريين.</w:t>
            </w:r>
          </w:p>
        </w:tc>
        <w:tc>
          <w:tcPr>
            <w:tcW w:type="dxa" w:w="2551"/>
          </w:tcPr>
          <w:p>
            <w:pPr>
              <w:jc w:val="right"/>
              <w:bidi/>
            </w:pPr>
            <w:r/>
            <w:r>
              <w:rPr>
                <w:sz w:val="18"/>
              </w:rPr>
              <w:t>منافس عبر المستوردين الإيطاليين. راقبه.</w:t>
            </w:r>
          </w:p>
        </w:tc>
      </w:tr>
      <w:tr>
        <w:tc>
          <w:tcPr>
            <w:tcW w:type="dxa" w:w="1587"/>
          </w:tcPr>
          <w:p>
            <w:pPr>
              <w:jc w:val="right"/>
              <w:bidi/>
            </w:pPr>
            <w:r/>
            <w:r>
              <w:rPr>
                <w:sz w:val="18"/>
              </w:rPr>
              <w:t>Emicert (اليونان)</w:t>
            </w:r>
          </w:p>
        </w:tc>
        <w:tc>
          <w:tcPr>
            <w:tcW w:type="dxa" w:w="2948"/>
          </w:tcPr>
          <w:p>
            <w:pPr>
              <w:jc w:val="right"/>
              <w:bidi/>
            </w:pPr>
            <w:r/>
            <w:r>
              <w:rPr>
                <w:sz w:val="18"/>
              </w:rPr>
              <w:t>20 سنة في تحقق CO₂؛ أول معتمد ESYD لقانون المناخ اليوناني؛ انضم لمجموعة CTI؛ معتمد في بلغاريا.</w:t>
            </w:r>
          </w:p>
        </w:tc>
        <w:tc>
          <w:tcPr>
            <w:tcW w:type="dxa" w:w="2268"/>
          </w:tcPr>
          <w:p>
            <w:pPr>
              <w:jc w:val="right"/>
              <w:bidi/>
            </w:pPr>
            <w:r/>
            <w:r>
              <w:rPr>
                <w:sz w:val="18"/>
              </w:rPr>
              <w:t>لا.</w:t>
            </w:r>
          </w:p>
        </w:tc>
        <w:tc>
          <w:tcPr>
            <w:tcW w:type="dxa" w:w="2551"/>
          </w:tcPr>
          <w:p>
            <w:pPr>
              <w:jc w:val="right"/>
              <w:bidi/>
            </w:pPr>
            <w:r/>
            <w:r>
              <w:rPr>
                <w:sz w:val="18"/>
              </w:rPr>
              <w:t>يمكن أن يستهدف شرق المتوسط (مصر/تركيا) قبل الجزائر.</w:t>
            </w:r>
          </w:p>
        </w:tc>
      </w:tr>
      <w:tr>
        <w:tc>
          <w:tcPr>
            <w:tcW w:type="dxa" w:w="1587"/>
          </w:tcPr>
          <w:p>
            <w:pPr>
              <w:jc w:val="right"/>
              <w:bidi/>
            </w:pPr>
            <w:r/>
            <w:r>
              <w:rPr>
                <w:sz w:val="18"/>
              </w:rPr>
              <w:t>Eurocert (اليونان)</w:t>
            </w:r>
          </w:p>
        </w:tc>
        <w:tc>
          <w:tcPr>
            <w:tcW w:type="dxa" w:w="2948"/>
          </w:tcPr>
          <w:p>
            <w:pPr>
              <w:jc w:val="right"/>
              <w:bidi/>
            </w:pPr>
            <w:r/>
            <w:r>
              <w:rPr>
                <w:sz w:val="18"/>
              </w:rPr>
              <w:t>معتمد ETS (اعتماد ESYD)؛ ممثله التركي AURA يبيع تحقق CBAM.</w:t>
            </w:r>
          </w:p>
        </w:tc>
        <w:tc>
          <w:tcPr>
            <w:tcW w:type="dxa" w:w="2268"/>
          </w:tcPr>
          <w:p>
            <w:pPr>
              <w:jc w:val="right"/>
              <w:bidi/>
            </w:pPr>
            <w:r/>
            <w:r>
              <w:rPr>
                <w:sz w:val="18"/>
              </w:rPr>
              <w:t>لا.</w:t>
            </w:r>
          </w:p>
        </w:tc>
        <w:tc>
          <w:tcPr>
            <w:tcW w:type="dxa" w:w="2551"/>
          </w:tcPr>
          <w:p>
            <w:pPr>
              <w:jc w:val="right"/>
              <w:bidi/>
            </w:pPr>
            <w:r/>
            <w:r>
              <w:rPr>
                <w:sz w:val="18"/>
              </w:rPr>
              <w:t>نموذج "ممثل محلي لمحقق أوروبي" — هو بالضبط النموذج الذي تريده أنت مع G&amp;F. ادرسه.</w:t>
            </w:r>
          </w:p>
        </w:tc>
      </w:tr>
      <w:tr>
        <w:tc>
          <w:tcPr>
            <w:tcW w:type="dxa" w:w="1587"/>
          </w:tcPr>
          <w:p>
            <w:pPr>
              <w:jc w:val="right"/>
              <w:bidi/>
            </w:pPr>
            <w:r/>
            <w:r>
              <w:rPr>
                <w:sz w:val="18"/>
              </w:rPr>
              <w:t>LRQA / Apave / DEKRA / AFNOR</w:t>
            </w:r>
          </w:p>
        </w:tc>
        <w:tc>
          <w:tcPr>
            <w:tcW w:type="dxa" w:w="2948"/>
          </w:tcPr>
          <w:p>
            <w:pPr>
              <w:jc w:val="right"/>
              <w:bidi/>
            </w:pPr>
            <w:r/>
            <w:r>
              <w:rPr>
                <w:sz w:val="18"/>
              </w:rPr>
              <w:t>خدمات دعم/تدريب، لا تحقق معتمد بعد.</w:t>
            </w:r>
          </w:p>
        </w:tc>
        <w:tc>
          <w:tcPr>
            <w:tcW w:type="dxa" w:w="2268"/>
          </w:tcPr>
          <w:p>
            <w:pPr>
              <w:jc w:val="right"/>
              <w:bidi/>
            </w:pPr>
            <w:r/>
            <w:r>
              <w:rPr>
                <w:sz w:val="18"/>
              </w:rPr>
              <w:t>مكاتب في الجزائر (Apave، AFNOR/Afaq، DEKRA-Norisko).</w:t>
            </w:r>
          </w:p>
        </w:tc>
        <w:tc>
          <w:tcPr>
            <w:tcW w:type="dxa" w:w="2551"/>
          </w:tcPr>
          <w:p>
            <w:pPr>
              <w:jc w:val="right"/>
              <w:bidi/>
            </w:pPr>
            <w:r/>
            <w:r>
              <w:rPr>
                <w:sz w:val="18"/>
              </w:rPr>
              <w:t>شركاء تدريب لا منافسو تحقق.</w:t>
            </w:r>
          </w:p>
        </w:tc>
      </w:tr>
      <w:tr>
        <w:tc>
          <w:tcPr>
            <w:tcW w:type="dxa" w:w="1587"/>
          </w:tcPr>
          <w:p>
            <w:pPr>
              <w:jc w:val="right"/>
              <w:bidi/>
            </w:pPr>
            <w:r/>
            <w:r>
              <w:rPr>
                <w:sz w:val="18"/>
              </w:rPr>
              <w:t>Danem Test (ألمانيا/الهند)</w:t>
            </w:r>
          </w:p>
        </w:tc>
        <w:tc>
          <w:tcPr>
            <w:tcW w:type="dxa" w:w="2948"/>
          </w:tcPr>
          <w:p>
            <w:pPr>
              <w:jc w:val="right"/>
              <w:bidi/>
            </w:pPr>
            <w:r/>
            <w:r>
              <w:rPr>
                <w:sz w:val="18"/>
              </w:rPr>
              <w:t>يبيع "تحقق CBAM" لمصدّري مصر والخليج.</w:t>
            </w:r>
          </w:p>
        </w:tc>
        <w:tc>
          <w:tcPr>
            <w:tcW w:type="dxa" w:w="2268"/>
          </w:tcPr>
          <w:p>
            <w:pPr>
              <w:jc w:val="right"/>
              <w:bidi/>
            </w:pPr>
            <w:r/>
            <w:r>
              <w:rPr>
                <w:sz w:val="18"/>
              </w:rPr>
              <w:t>لا.</w:t>
            </w:r>
          </w:p>
        </w:tc>
        <w:tc>
          <w:tcPr>
            <w:tcW w:type="dxa" w:w="2551"/>
          </w:tcPr>
          <w:p>
            <w:pPr>
              <w:jc w:val="right"/>
              <w:bidi/>
            </w:pPr>
            <w:r/>
            <w:r>
              <w:rPr>
                <w:sz w:val="18"/>
              </w:rPr>
              <w:t>مثال على اللاعبين الصغار الذين سيدخلون السوق.</w:t>
            </w:r>
          </w:p>
        </w:tc>
      </w:tr>
    </w:tbl>
    <w:p/>
    <w:p>
      <w:pPr>
        <w:pStyle w:val="Heading1"/>
        <w:jc w:val="right"/>
        <w:bidi/>
      </w:pPr>
      <w:r>
        <w:rPr>
          <w:color w:val="1F3A5F"/>
        </w:rPr>
        <w:t>3. الجزائر: من يعمل فعلاً في الملف (ولا أحد منهم محقق)</w:t>
      </w:r>
    </w:p>
    <w:tbl>
      <w:tblPr>
        <w:tblStyle w:val="TableGrid"/>
        <w:tblW w:type="auto" w:w="0"/>
        <w:tblLook w:firstColumn="1" w:firstRow="1" w:lastColumn="0" w:lastRow="0" w:noHBand="0" w:noVBand="1" w:val="04A0"/>
        <w:bidiVisual/>
      </w:tblPr>
      <w:tblGrid>
        <w:gridCol w:w="2493"/>
        <w:gridCol w:w="2493"/>
        <w:gridCol w:w="2493"/>
        <w:gridCol w:w="2493"/>
      </w:tblGrid>
      <w:tr>
        <w:tc>
          <w:tcPr>
            <w:tcW w:type="dxa" w:w="1814"/>
            <w:shd w:val="clear" w:color="auto" w:fill="1F3A5F"/>
          </w:tcPr>
          <w:p>
            <w:pPr>
              <w:jc w:val="right"/>
              <w:bidi/>
            </w:pPr>
            <w:r/>
            <w:r>
              <w:rPr>
                <w:b/>
                <w:color w:val="FFFFFF"/>
                <w:sz w:val="18"/>
              </w:rPr>
              <w:t>الجهة</w:t>
            </w:r>
          </w:p>
        </w:tc>
        <w:tc>
          <w:tcPr>
            <w:tcW w:type="dxa" w:w="2835"/>
            <w:shd w:val="clear" w:color="auto" w:fill="1F3A5F"/>
          </w:tcPr>
          <w:p>
            <w:pPr>
              <w:jc w:val="right"/>
              <w:bidi/>
            </w:pPr>
            <w:r/>
            <w:r>
              <w:rPr>
                <w:b/>
                <w:color w:val="FFFFFF"/>
                <w:sz w:val="18"/>
              </w:rPr>
              <w:t>ماذا فعلت/تفعل</w:t>
            </w:r>
          </w:p>
        </w:tc>
        <w:tc>
          <w:tcPr>
            <w:tcW w:type="dxa" w:w="2268"/>
            <w:shd w:val="clear" w:color="auto" w:fill="1F3A5F"/>
          </w:tcPr>
          <w:p>
            <w:pPr>
              <w:jc w:val="right"/>
              <w:bidi/>
            </w:pPr>
            <w:r/>
            <w:r>
              <w:rPr>
                <w:b/>
                <w:color w:val="FFFFFF"/>
                <w:sz w:val="18"/>
              </w:rPr>
              <w:t>الأشخاص</w:t>
            </w:r>
          </w:p>
        </w:tc>
        <w:tc>
          <w:tcPr>
            <w:tcW w:type="dxa" w:w="2438"/>
            <w:shd w:val="clear" w:color="auto" w:fill="1F3A5F"/>
          </w:tcPr>
          <w:p>
            <w:pPr>
              <w:jc w:val="right"/>
              <w:bidi/>
            </w:pPr>
            <w:r/>
            <w:r>
              <w:rPr>
                <w:b/>
                <w:color w:val="FFFFFF"/>
                <w:sz w:val="18"/>
              </w:rPr>
              <w:t>ما تفعله أنت</w:t>
            </w:r>
          </w:p>
        </w:tc>
      </w:tr>
      <w:tr>
        <w:tc>
          <w:tcPr>
            <w:tcW w:type="dxa" w:w="1814"/>
          </w:tcPr>
          <w:p>
            <w:pPr>
              <w:jc w:val="right"/>
              <w:bidi/>
            </w:pPr>
            <w:r/>
            <w:r>
              <w:rPr>
                <w:sz w:val="18"/>
              </w:rPr>
              <w:t>GIZ Algérie — برنامج TaqatHy+</w:t>
            </w:r>
          </w:p>
        </w:tc>
        <w:tc>
          <w:tcPr>
            <w:tcW w:type="dxa" w:w="2835"/>
          </w:tcPr>
          <w:p>
            <w:pPr>
              <w:jc w:val="right"/>
              <w:bidi/>
            </w:pPr>
            <w:r/>
            <w:r>
              <w:rPr>
                <w:sz w:val="18"/>
              </w:rPr>
              <w:t>مؤتمر CBAM (16–17/02/2026) بمشاركة 10 وزارات + المفوضية؛ ورشات قطاعية (أسمدة/إسمنت/حديد)؛ يستمر حتى مايو 2029؛ ميزانية 28 مليون €.</w:t>
            </w:r>
          </w:p>
        </w:tc>
        <w:tc>
          <w:tcPr>
            <w:tcW w:type="dxa" w:w="2268"/>
          </w:tcPr>
          <w:p>
            <w:pPr>
              <w:jc w:val="right"/>
              <w:bidi/>
            </w:pPr>
            <w:r/>
            <w:r>
              <w:rPr>
                <w:sz w:val="18"/>
              </w:rPr>
              <w:t>المديرة العامة GIZ الجزائر: Martina Vahlhaus؛ مدير الطاقات المتجددة بوزارة الطاقة: مراد شيخي؛ كاتب الدولة للطاقات المتجددة: نور الدين ياسع.</w:t>
            </w:r>
          </w:p>
        </w:tc>
        <w:tc>
          <w:tcPr>
            <w:tcW w:type="dxa" w:w="2438"/>
          </w:tcPr>
          <w:p>
            <w:pPr>
              <w:jc w:val="right"/>
              <w:bidi/>
            </w:pPr>
            <w:r/>
            <w:r>
              <w:rPr>
                <w:sz w:val="18"/>
              </w:rPr>
              <w:t>أهم باب مؤسسي بعد الوزير. اطلب محضر توصيات المؤتمر واعرض عليهم "مسار تأهيل المدققين" كمشروع تنفيذي لتوصيتهم عن MRV.</w:t>
            </w:r>
          </w:p>
        </w:tc>
      </w:tr>
      <w:tr>
        <w:tc>
          <w:tcPr>
            <w:tcW w:type="dxa" w:w="1814"/>
          </w:tcPr>
          <w:p>
            <w:pPr>
              <w:jc w:val="right"/>
              <w:bidi/>
            </w:pPr>
            <w:r/>
            <w:r>
              <w:rPr>
                <w:sz w:val="18"/>
              </w:rPr>
              <w:t>بعثة الاتحاد الأوروبي بالجزائر</w:t>
            </w:r>
          </w:p>
        </w:tc>
        <w:tc>
          <w:tcPr>
            <w:tcW w:type="dxa" w:w="2835"/>
          </w:tcPr>
          <w:p>
            <w:pPr>
              <w:jc w:val="right"/>
              <w:bidi/>
            </w:pPr>
            <w:r/>
            <w:r>
              <w:rPr>
                <w:sz w:val="18"/>
              </w:rPr>
              <w:t>شريك المؤتمر؛ تعهّدت بـ"أدوات تعاون تقني وحوار منتظم" حول CBAM.</w:t>
            </w:r>
          </w:p>
        </w:tc>
        <w:tc>
          <w:tcPr>
            <w:tcW w:type="dxa" w:w="2268"/>
          </w:tcPr>
          <w:p>
            <w:pPr>
              <w:jc w:val="right"/>
              <w:bidi/>
            </w:pPr>
            <w:r/>
            <w:r>
              <w:rPr>
                <w:sz w:val="18"/>
              </w:rPr>
              <w:t>السفير Diego Mellado Pascua؛ DG MENA بالمفوضية: Stefano Sannino (زار الجزائر).</w:t>
            </w:r>
          </w:p>
        </w:tc>
        <w:tc>
          <w:tcPr>
            <w:tcW w:type="dxa" w:w="2438"/>
          </w:tcPr>
          <w:p>
            <w:pPr>
              <w:jc w:val="right"/>
              <w:bidi/>
            </w:pPr>
            <w:r/>
            <w:r>
              <w:rPr>
                <w:sz w:val="18"/>
              </w:rPr>
              <w:t>أي برنامج وطني ستريد البعثة الظهور فيه — استخدم ذلك في مذكرة الوزير ("cadre du dialogue UE–Algérie sur le CBAM").</w:t>
            </w:r>
          </w:p>
        </w:tc>
      </w:tr>
      <w:tr>
        <w:tc>
          <w:tcPr>
            <w:tcW w:type="dxa" w:w="1814"/>
          </w:tcPr>
          <w:p>
            <w:pPr>
              <w:jc w:val="right"/>
              <w:bidi/>
            </w:pPr>
            <w:r/>
            <w:r>
              <w:rPr>
                <w:sz w:val="18"/>
              </w:rPr>
              <w:t>وزارة الطاقة والطاقات المتجددة</w:t>
            </w:r>
          </w:p>
        </w:tc>
        <w:tc>
          <w:tcPr>
            <w:tcW w:type="dxa" w:w="2835"/>
          </w:tcPr>
          <w:p>
            <w:pPr>
              <w:jc w:val="right"/>
              <w:bidi/>
            </w:pPr>
            <w:r/>
            <w:r>
              <w:rPr>
                <w:sz w:val="18"/>
              </w:rPr>
              <w:t>الوصي على TaqatHy+؛ الوزير مراد عجال.</w:t>
            </w:r>
          </w:p>
        </w:tc>
        <w:tc>
          <w:tcPr>
            <w:tcW w:type="dxa" w:w="2268"/>
          </w:tcPr>
          <w:p>
            <w:pPr>
              <w:jc w:val="right"/>
              <w:bidi/>
            </w:pPr>
            <w:r/>
            <w:r>
              <w:rPr>
                <w:sz w:val="18"/>
              </w:rPr>
              <w:t>—</w:t>
            </w:r>
          </w:p>
        </w:tc>
        <w:tc>
          <w:tcPr>
            <w:tcW w:type="dxa" w:w="2438"/>
          </w:tcPr>
          <w:p>
            <w:pPr>
              <w:jc w:val="right"/>
              <w:bidi/>
            </w:pPr>
            <w:r/>
            <w:r>
              <w:rPr>
                <w:sz w:val="18"/>
              </w:rPr>
              <w:t>القناة الرسمية لـ CBAM في الجزائر اليوم هي الطاقة، لا اقتصاد المعرفة. وزيرك هو الطريق "الجانبي" الأسرع لا الطريق الرسمي — كن واعياً بذلك.</w:t>
            </w:r>
          </w:p>
        </w:tc>
      </w:tr>
      <w:tr>
        <w:tc>
          <w:tcPr>
            <w:tcW w:type="dxa" w:w="1814"/>
          </w:tcPr>
          <w:p>
            <w:pPr>
              <w:jc w:val="right"/>
              <w:bidi/>
            </w:pPr>
            <w:r/>
            <w:r>
              <w:rPr>
                <w:sz w:val="18"/>
              </w:rPr>
              <w:t>وزارة المحروقات والمناجم</w:t>
            </w:r>
          </w:p>
        </w:tc>
        <w:tc>
          <w:tcPr>
            <w:tcW w:type="dxa" w:w="2835"/>
          </w:tcPr>
          <w:p>
            <w:pPr>
              <w:jc w:val="right"/>
              <w:bidi/>
            </w:pPr>
            <w:r/>
            <w:r>
              <w:rPr>
                <w:sz w:val="18"/>
              </w:rPr>
              <w:t>شريكة في تنظيم المؤتمر؛ وصاية Sonatrach.</w:t>
            </w:r>
          </w:p>
        </w:tc>
        <w:tc>
          <w:tcPr>
            <w:tcW w:type="dxa" w:w="2268"/>
          </w:tcPr>
          <w:p>
            <w:pPr>
              <w:jc w:val="right"/>
              <w:bidi/>
            </w:pPr>
            <w:r/>
            <w:r>
              <w:rPr>
                <w:sz w:val="18"/>
              </w:rPr>
              <w:t>—</w:t>
            </w:r>
          </w:p>
        </w:tc>
        <w:tc>
          <w:tcPr>
            <w:tcW w:type="dxa" w:w="2438"/>
          </w:tcPr>
          <w:p>
            <w:pPr>
              <w:jc w:val="right"/>
              <w:bidi/>
            </w:pPr>
            <w:r/>
            <w:r>
              <w:rPr>
                <w:sz w:val="18"/>
              </w:rPr>
              <w:t>أكبر مالك للمنشآت. مدخلك إليها عبر GIZ أو Sonatrach مباشرة.</w:t>
            </w:r>
          </w:p>
        </w:tc>
      </w:tr>
      <w:tr>
        <w:tc>
          <w:tcPr>
            <w:tcW w:type="dxa" w:w="1814"/>
          </w:tcPr>
          <w:p>
            <w:pPr>
              <w:jc w:val="right"/>
              <w:bidi/>
            </w:pPr>
            <w:r/>
            <w:r>
              <w:rPr>
                <w:sz w:val="18"/>
              </w:rPr>
              <w:t>CREA (مجلس التجديد الاقتصادي)</w:t>
            </w:r>
          </w:p>
        </w:tc>
        <w:tc>
          <w:tcPr>
            <w:tcW w:type="dxa" w:w="2835"/>
          </w:tcPr>
          <w:p>
            <w:pPr>
              <w:jc w:val="right"/>
              <w:bidi/>
            </w:pPr>
            <w:r/>
            <w:r>
              <w:rPr>
                <w:sz w:val="18"/>
              </w:rPr>
              <w:t>منظمة أرباب العمل الأقرب للسلطة.</w:t>
            </w:r>
          </w:p>
        </w:tc>
        <w:tc>
          <w:tcPr>
            <w:tcW w:type="dxa" w:w="2268"/>
          </w:tcPr>
          <w:p>
            <w:pPr>
              <w:jc w:val="right"/>
              <w:bidi/>
            </w:pPr>
            <w:r/>
            <w:r>
              <w:rPr>
                <w:sz w:val="18"/>
              </w:rPr>
              <w:t>الرئيس كمال مولى.</w:t>
            </w:r>
          </w:p>
        </w:tc>
        <w:tc>
          <w:tcPr>
            <w:tcW w:type="dxa" w:w="2438"/>
          </w:tcPr>
          <w:p>
            <w:pPr>
              <w:jc w:val="right"/>
              <w:bidi/>
            </w:pPr>
            <w:r/>
            <w:r>
              <w:rPr>
                <w:sz w:val="18"/>
              </w:rPr>
              <w:t>منصة لورشة "المصدّرون الجزائريون وCBAM".</w:t>
            </w:r>
          </w:p>
        </w:tc>
      </w:tr>
      <w:tr>
        <w:tc>
          <w:tcPr>
            <w:tcW w:type="dxa" w:w="1814"/>
          </w:tcPr>
          <w:p>
            <w:pPr>
              <w:jc w:val="right"/>
              <w:bidi/>
            </w:pPr>
            <w:r/>
            <w:r>
              <w:rPr>
                <w:sz w:val="18"/>
              </w:rPr>
              <w:t>AAPI (وكالة ترقية الاستثمار)</w:t>
            </w:r>
          </w:p>
        </w:tc>
        <w:tc>
          <w:tcPr>
            <w:tcW w:type="dxa" w:w="2835"/>
          </w:tcPr>
          <w:p>
            <w:pPr>
              <w:jc w:val="right"/>
              <w:bidi/>
            </w:pPr>
            <w:r/>
            <w:r>
              <w:rPr>
                <w:sz w:val="18"/>
              </w:rPr>
              <w:t>—</w:t>
            </w:r>
          </w:p>
        </w:tc>
        <w:tc>
          <w:tcPr>
            <w:tcW w:type="dxa" w:w="2268"/>
          </w:tcPr>
          <w:p>
            <w:pPr>
              <w:jc w:val="right"/>
              <w:bidi/>
            </w:pPr>
            <w:r/>
            <w:r>
              <w:rPr>
                <w:sz w:val="18"/>
              </w:rPr>
              <w:t>المدير العام عمر ركاش.</w:t>
            </w:r>
          </w:p>
        </w:tc>
        <w:tc>
          <w:tcPr>
            <w:tcW w:type="dxa" w:w="2438"/>
          </w:tcPr>
          <w:p>
            <w:pPr>
              <w:jc w:val="right"/>
              <w:bidi/>
            </w:pPr>
            <w:r/>
            <w:r>
              <w:rPr>
                <w:sz w:val="18"/>
              </w:rPr>
              <w:t>ثانوي.</w:t>
            </w:r>
          </w:p>
        </w:tc>
      </w:tr>
      <w:tr>
        <w:tc>
          <w:tcPr>
            <w:tcW w:type="dxa" w:w="1814"/>
          </w:tcPr>
          <w:p>
            <w:pPr>
              <w:jc w:val="right"/>
              <w:bidi/>
            </w:pPr>
            <w:r/>
            <w:r>
              <w:rPr>
                <w:sz w:val="18"/>
              </w:rPr>
              <w:t>ALGERAC / IANOR</w:t>
            </w:r>
          </w:p>
        </w:tc>
        <w:tc>
          <w:tcPr>
            <w:tcW w:type="dxa" w:w="2835"/>
          </w:tcPr>
          <w:p>
            <w:pPr>
              <w:jc w:val="right"/>
              <w:bidi/>
            </w:pPr>
            <w:r/>
            <w:r>
              <w:rPr>
                <w:sz w:val="18"/>
              </w:rPr>
              <w:t>لا نطاق ISO 14065؛ لا مرجع MRV وطني.</w:t>
            </w:r>
          </w:p>
        </w:tc>
        <w:tc>
          <w:tcPr>
            <w:tcW w:type="dxa" w:w="2268"/>
          </w:tcPr>
          <w:p>
            <w:pPr>
              <w:jc w:val="right"/>
              <w:bidi/>
            </w:pPr>
            <w:r/>
            <w:r>
              <w:rPr>
                <w:sz w:val="18"/>
              </w:rPr>
              <w:t>المدير العام ALGERAC: نور الدين بوديسة.</w:t>
            </w:r>
          </w:p>
        </w:tc>
        <w:tc>
          <w:tcPr>
            <w:tcW w:type="dxa" w:w="2438"/>
          </w:tcPr>
          <w:p>
            <w:pPr>
              <w:jc w:val="right"/>
              <w:bidi/>
            </w:pPr>
            <w:r/>
            <w:r>
              <w:rPr>
                <w:sz w:val="18"/>
              </w:rPr>
              <w:t>الفجوة التي يملؤها برنامجك. المغرب سبقها بقانون 75-24 وIMANOR.</w:t>
            </w:r>
          </w:p>
        </w:tc>
      </w:tr>
      <w:tr>
        <w:tc>
          <w:tcPr>
            <w:tcW w:type="dxa" w:w="1814"/>
          </w:tcPr>
          <w:p>
            <w:pPr>
              <w:jc w:val="right"/>
              <w:bidi/>
            </w:pPr>
            <w:r/>
            <w:r>
              <w:rPr>
                <w:sz w:val="18"/>
              </w:rPr>
              <w:t>مكاتب الاستشارات المحلية</w:t>
            </w:r>
          </w:p>
        </w:tc>
        <w:tc>
          <w:tcPr>
            <w:tcW w:type="dxa" w:w="2835"/>
          </w:tcPr>
          <w:p>
            <w:pPr>
              <w:jc w:val="right"/>
              <w:bidi/>
            </w:pPr>
            <w:r/>
            <w:r>
              <w:rPr>
                <w:sz w:val="18"/>
              </w:rPr>
              <w:t>Qualitest، NORMISO، ENACT، مكاتب ISO 14001/50001 في عنابة/وهران. لا أحد يقدّم ISO 14064 محلياً سوى SGS.</w:t>
            </w:r>
          </w:p>
        </w:tc>
        <w:tc>
          <w:tcPr>
            <w:tcW w:type="dxa" w:w="2268"/>
          </w:tcPr>
          <w:p>
            <w:pPr>
              <w:jc w:val="right"/>
              <w:bidi/>
            </w:pPr>
            <w:r/>
            <w:r>
              <w:rPr>
                <w:sz w:val="18"/>
              </w:rPr>
              <w:t>—</w:t>
            </w:r>
          </w:p>
        </w:tc>
        <w:tc>
          <w:tcPr>
            <w:tcW w:type="dxa" w:w="2438"/>
          </w:tcPr>
          <w:p>
            <w:pPr>
              <w:jc w:val="right"/>
              <w:bidi/>
            </w:pPr>
            <w:r/>
            <w:r>
              <w:rPr>
                <w:sz w:val="18"/>
              </w:rPr>
              <w:t>شريك "ذو خبرة ISO" الذي طلبه أنطون. اختر واحداً في عنابة.</w:t>
            </w:r>
          </w:p>
        </w:tc>
      </w:tr>
      <w:tr>
        <w:tc>
          <w:tcPr>
            <w:tcW w:type="dxa" w:w="1814"/>
          </w:tcPr>
          <w:p>
            <w:pPr>
              <w:jc w:val="right"/>
              <w:bidi/>
            </w:pPr>
            <w:r/>
            <w:r>
              <w:rPr>
                <w:sz w:val="18"/>
              </w:rPr>
              <w:t>virCBAM (Viresg)</w:t>
            </w:r>
          </w:p>
        </w:tc>
        <w:tc>
          <w:tcPr>
            <w:tcW w:type="dxa" w:w="2835"/>
          </w:tcPr>
          <w:p>
            <w:pPr>
              <w:jc w:val="right"/>
              <w:bidi/>
            </w:pPr>
            <w:r/>
            <w:r>
              <w:rPr>
                <w:sz w:val="18"/>
              </w:rPr>
              <w:t>منصة SaaS مغاربية (المغرب/تونس/الجزائر) لحساب الانبعاثات وتوليد XML للسجل؛ تكامل مع Sonelgaz؛ تُحيل التحقق إلى SGS/BV.</w:t>
            </w:r>
          </w:p>
        </w:tc>
        <w:tc>
          <w:tcPr>
            <w:tcW w:type="dxa" w:w="2268"/>
          </w:tcPr>
          <w:p>
            <w:pPr>
              <w:jc w:val="right"/>
              <w:bidi/>
            </w:pPr>
            <w:r/>
            <w:r>
              <w:rPr>
                <w:sz w:val="18"/>
              </w:rPr>
              <w:t>hello@viresg.com</w:t>
            </w:r>
          </w:p>
        </w:tc>
        <w:tc>
          <w:tcPr>
            <w:tcW w:type="dxa" w:w="2438"/>
          </w:tcPr>
          <w:p>
            <w:pPr>
              <w:jc w:val="right"/>
              <w:bidi/>
            </w:pPr>
            <w:r/>
            <w:r>
              <w:rPr>
                <w:sz w:val="18"/>
              </w:rPr>
              <w:t>منافس مباشر لفكرة "startup MRV Carbone Algérie" — أو شريك تقني إذا أردت اختصار سنة تطوير. اتصل بهم قبل أن تعرض الفكرة على الوزير.</w:t>
            </w:r>
          </w:p>
        </w:tc>
      </w:tr>
    </w:tbl>
    <w:p/>
    <w:p>
      <w:pPr>
        <w:pStyle w:val="Heading1"/>
        <w:jc w:val="right"/>
        <w:bidi/>
      </w:pPr>
      <w:r>
        <w:rPr>
          <w:color w:val="1F3A5F"/>
        </w:rPr>
        <w:t>4. الجيران: من سبق ومن يمكن الاقتداء به</w:t>
      </w:r>
    </w:p>
    <w:tbl>
      <w:tblPr>
        <w:tblStyle w:val="TableGrid"/>
        <w:tblW w:type="auto" w:w="0"/>
        <w:tblLook w:firstColumn="1" w:firstRow="1" w:lastColumn="0" w:lastRow="0" w:noHBand="0" w:noVBand="1" w:val="04A0"/>
        <w:bidiVisual/>
      </w:tblPr>
      <w:tblGrid>
        <w:gridCol w:w="2493"/>
        <w:gridCol w:w="2493"/>
        <w:gridCol w:w="2493"/>
        <w:gridCol w:w="2493"/>
      </w:tblGrid>
      <w:tr>
        <w:tc>
          <w:tcPr>
            <w:tcW w:type="dxa" w:w="1134"/>
            <w:shd w:val="clear" w:color="auto" w:fill="1F3A5F"/>
          </w:tcPr>
          <w:p>
            <w:pPr>
              <w:jc w:val="right"/>
              <w:bidi/>
            </w:pPr>
            <w:r/>
            <w:r>
              <w:rPr>
                <w:b/>
                <w:color w:val="FFFFFF"/>
                <w:sz w:val="18"/>
              </w:rPr>
              <w:t>البلد</w:t>
            </w:r>
          </w:p>
        </w:tc>
        <w:tc>
          <w:tcPr>
            <w:tcW w:type="dxa" w:w="3005"/>
            <w:shd w:val="clear" w:color="auto" w:fill="1F3A5F"/>
          </w:tcPr>
          <w:p>
            <w:pPr>
              <w:jc w:val="right"/>
              <w:bidi/>
            </w:pPr>
            <w:r/>
            <w:r>
              <w:rPr>
                <w:b/>
                <w:color w:val="FFFFFF"/>
                <w:sz w:val="18"/>
              </w:rPr>
              <w:t>النموذج</w:t>
            </w:r>
          </w:p>
        </w:tc>
        <w:tc>
          <w:tcPr>
            <w:tcW w:type="dxa" w:w="2494"/>
            <w:shd w:val="clear" w:color="auto" w:fill="1F3A5F"/>
          </w:tcPr>
          <w:p>
            <w:pPr>
              <w:jc w:val="right"/>
              <w:bidi/>
            </w:pPr>
            <w:r/>
            <w:r>
              <w:rPr>
                <w:b/>
                <w:color w:val="FFFFFF"/>
                <w:sz w:val="18"/>
              </w:rPr>
              <w:t>الأشخاص/الجهات</w:t>
            </w:r>
          </w:p>
        </w:tc>
        <w:tc>
          <w:tcPr>
            <w:tcW w:type="dxa" w:w="2721"/>
            <w:shd w:val="clear" w:color="auto" w:fill="1F3A5F"/>
          </w:tcPr>
          <w:p>
            <w:pPr>
              <w:jc w:val="right"/>
              <w:bidi/>
            </w:pPr>
            <w:r/>
            <w:r>
              <w:rPr>
                <w:b/>
                <w:color w:val="FFFFFF"/>
                <w:sz w:val="18"/>
              </w:rPr>
              <w:t>الدرس للجزائر</w:t>
            </w:r>
          </w:p>
        </w:tc>
      </w:tr>
      <w:tr>
        <w:tc>
          <w:tcPr>
            <w:tcW w:type="dxa" w:w="1134"/>
          </w:tcPr>
          <w:p>
            <w:pPr>
              <w:jc w:val="right"/>
              <w:bidi/>
            </w:pPr>
            <w:r/>
            <w:r>
              <w:rPr>
                <w:sz w:val="18"/>
              </w:rPr>
              <w:t>المغرب</w:t>
            </w:r>
          </w:p>
        </w:tc>
        <w:tc>
          <w:tcPr>
            <w:tcW w:type="dxa" w:w="3005"/>
          </w:tcPr>
          <w:p>
            <w:pPr>
              <w:jc w:val="right"/>
              <w:bidi/>
            </w:pPr>
            <w:r/>
            <w:r>
              <w:rPr>
                <w:sz w:val="18"/>
              </w:rPr>
              <w:t>قانون 75-24 يعيّن IMANOR "الهيئة المرجعية الوطنية للتحقق من المحتوى الكربوني"؛ نظام تحقق وطني قيد الاعتماد الأوروبي.</w:t>
            </w:r>
          </w:p>
        </w:tc>
        <w:tc>
          <w:tcPr>
            <w:tcW w:type="dxa" w:w="2494"/>
          </w:tcPr>
          <w:p>
            <w:pPr>
              <w:jc w:val="right"/>
              <w:bidi/>
            </w:pPr>
            <w:r/>
            <w:r>
              <w:rPr>
                <w:sz w:val="18"/>
              </w:rPr>
              <w:t>المدير العام IMANOR: عبد الرحيم الطيبي. تأثير CBAM على 3.7% فقط من صادرات المغرب للاتحاد (CESE).</w:t>
            </w:r>
          </w:p>
        </w:tc>
        <w:tc>
          <w:tcPr>
            <w:tcW w:type="dxa" w:w="2721"/>
          </w:tcPr>
          <w:p>
            <w:pPr>
              <w:jc w:val="right"/>
              <w:bidi/>
            </w:pPr>
            <w:r/>
            <w:r>
              <w:rPr>
                <w:sz w:val="18"/>
              </w:rPr>
              <w:t>النموذج الذي تقترحه على الوزير حرفياً: هيئة وطنية + اعتماد عبر Accredia/RvA. المغرب أمامك بـ 18 شهراً.</w:t>
            </w:r>
          </w:p>
        </w:tc>
      </w:tr>
      <w:tr>
        <w:tc>
          <w:tcPr>
            <w:tcW w:type="dxa" w:w="1134"/>
          </w:tcPr>
          <w:p>
            <w:pPr>
              <w:jc w:val="right"/>
              <w:bidi/>
            </w:pPr>
            <w:r/>
            <w:r>
              <w:rPr>
                <w:sz w:val="18"/>
              </w:rPr>
              <w:t>تركيا</w:t>
            </w:r>
          </w:p>
        </w:tc>
        <w:tc>
          <w:tcPr>
            <w:tcW w:type="dxa" w:w="3005"/>
          </w:tcPr>
          <w:p>
            <w:pPr>
              <w:jc w:val="right"/>
              <w:bidi/>
            </w:pPr>
            <w:r/>
            <w:r>
              <w:rPr>
                <w:sz w:val="18"/>
              </w:rPr>
              <w:t>TSE (معهد المواصفات) يقدّم تحقق CBAM؛ AURA ممثل Eurocert؛ TÜRKAK يبني "حوض محققين وطني".</w:t>
            </w:r>
          </w:p>
        </w:tc>
        <w:tc>
          <w:tcPr>
            <w:tcW w:type="dxa" w:w="2494"/>
          </w:tcPr>
          <w:p>
            <w:pPr>
              <w:jc w:val="right"/>
              <w:bidi/>
            </w:pPr>
            <w:r/>
            <w:r>
              <w:rPr>
                <w:sz w:val="18"/>
              </w:rPr>
              <w:t>—</w:t>
            </w:r>
          </w:p>
        </w:tc>
        <w:tc>
          <w:tcPr>
            <w:tcW w:type="dxa" w:w="2721"/>
          </w:tcPr>
          <w:p>
            <w:pPr>
              <w:jc w:val="right"/>
              <w:bidi/>
            </w:pPr>
            <w:r/>
            <w:r>
              <w:rPr>
                <w:sz w:val="18"/>
              </w:rPr>
              <w:t>Tosyalı ستستورد محققها من تركيا. لا تضيّع وقتك على Tosyalı قبل 2028.</w:t>
            </w:r>
          </w:p>
        </w:tc>
      </w:tr>
      <w:tr>
        <w:tc>
          <w:tcPr>
            <w:tcW w:type="dxa" w:w="1134"/>
          </w:tcPr>
          <w:p>
            <w:pPr>
              <w:jc w:val="right"/>
              <w:bidi/>
            </w:pPr>
            <w:r/>
            <w:r>
              <w:rPr>
                <w:sz w:val="18"/>
              </w:rPr>
              <w:t>مصر</w:t>
            </w:r>
          </w:p>
        </w:tc>
        <w:tc>
          <w:tcPr>
            <w:tcW w:type="dxa" w:w="3005"/>
          </w:tcPr>
          <w:p>
            <w:pPr>
              <w:jc w:val="right"/>
              <w:bidi/>
            </w:pPr>
            <w:r/>
            <w:r>
              <w:rPr>
                <w:sz w:val="18"/>
              </w:rPr>
              <w:t>4 هيئات ISO 14065 مدرجة؛ BV Egypt معتمدة EGAC؛ Fertiglobe (مالكة Sorfert) مصرية-إماراتية.</w:t>
            </w:r>
          </w:p>
        </w:tc>
        <w:tc>
          <w:tcPr>
            <w:tcW w:type="dxa" w:w="2494"/>
          </w:tcPr>
          <w:p>
            <w:pPr>
              <w:jc w:val="right"/>
              <w:bidi/>
            </w:pPr>
            <w:r/>
            <w:r>
              <w:rPr>
                <w:sz w:val="18"/>
              </w:rPr>
              <w:t>—</w:t>
            </w:r>
          </w:p>
        </w:tc>
        <w:tc>
          <w:tcPr>
            <w:tcW w:type="dxa" w:w="2721"/>
          </w:tcPr>
          <w:p>
            <w:pPr>
              <w:jc w:val="right"/>
              <w:bidi/>
            </w:pPr>
            <w:r/>
            <w:r>
              <w:rPr>
                <w:sz w:val="18"/>
              </w:rPr>
              <w:t>Sorfert ستُدار من القاهرة/أبوظبي. نفس الملاحظة.</w:t>
            </w:r>
          </w:p>
        </w:tc>
      </w:tr>
      <w:tr>
        <w:tc>
          <w:tcPr>
            <w:tcW w:type="dxa" w:w="1134"/>
          </w:tcPr>
          <w:p>
            <w:pPr>
              <w:jc w:val="right"/>
              <w:bidi/>
            </w:pPr>
            <w:r/>
            <w:r>
              <w:rPr>
                <w:sz w:val="18"/>
              </w:rPr>
              <w:t>تونس</w:t>
            </w:r>
          </w:p>
        </w:tc>
        <w:tc>
          <w:tcPr>
            <w:tcW w:type="dxa" w:w="3005"/>
          </w:tcPr>
          <w:p>
            <w:pPr>
              <w:jc w:val="right"/>
              <w:bidi/>
            </w:pPr>
            <w:r/>
            <w:r>
              <w:rPr>
                <w:sz w:val="18"/>
              </w:rPr>
              <w:t>virCBAM وSGS Tunisie؛ لا هيئة وطنية.</w:t>
            </w:r>
          </w:p>
        </w:tc>
        <w:tc>
          <w:tcPr>
            <w:tcW w:type="dxa" w:w="2494"/>
          </w:tcPr>
          <w:p>
            <w:pPr>
              <w:jc w:val="right"/>
              <w:bidi/>
            </w:pPr>
            <w:r/>
            <w:r>
              <w:rPr>
                <w:sz w:val="18"/>
              </w:rPr>
              <w:t>—</w:t>
            </w:r>
          </w:p>
        </w:tc>
        <w:tc>
          <w:tcPr>
            <w:tcW w:type="dxa" w:w="2721"/>
          </w:tcPr>
          <w:p>
            <w:pPr>
              <w:jc w:val="right"/>
              <w:bidi/>
            </w:pPr>
            <w:r/>
            <w:r>
              <w:rPr>
                <w:sz w:val="18"/>
              </w:rPr>
              <w:t>نفس مرحلة الجزائر — شريك إقليمي محتمل لـ"أكاديمية مدققين مغاربية".</w:t>
            </w:r>
          </w:p>
        </w:tc>
      </w:tr>
    </w:tbl>
    <w:p/>
    <w:p>
      <w:pPr>
        <w:pStyle w:val="Heading1"/>
        <w:jc w:val="right"/>
        <w:bidi/>
      </w:pPr>
      <w:r>
        <w:rPr>
          <w:color w:val="A01E1E"/>
        </w:rPr>
        <w:t>5. ماذا يعني هذا لترتيب خطواتك</w:t>
      </w:r>
    </w:p>
    <w:p>
      <w:pPr>
        <w:pStyle w:val="ListBullet"/>
        <w:jc w:val="right"/>
        <w:bidi/>
      </w:pPr>
      <w:r>
        <w:rPr>
          <w:b/>
        </w:rPr>
        <w:t xml:space="preserve">أولاً — </w:t>
      </w:r>
      <w:r>
        <w:t>لا تكتب لوزير اقتصاد المعرفة قبل أن تقرأ توصيات مؤتمر TaqatHy+ (اطلبها من GIZ الجزائر بإيميل رسمي من الجامعة). مذكرتك يجب أن تبدأ بـ: "En prolongement des recommandations de la conférence UE–Algérie sur le CBAM (16–17 février 2026)…".</w:t>
      </w:r>
    </w:p>
    <w:p>
      <w:pPr>
        <w:pStyle w:val="ListBullet"/>
        <w:jc w:val="right"/>
        <w:bidi/>
      </w:pPr>
      <w:r>
        <w:rPr>
          <w:b/>
        </w:rPr>
        <w:t xml:space="preserve">ثانياً — </w:t>
      </w:r>
      <w:r>
        <w:t>افتح اليوم قناة موازية مع SGS Algérie (الأبيار) بنفس صيغة الإيميل الموجّه لأنطون، مع تعديل: أنت تعرض "شبكة مدققين محليين مؤهلين" لا شراكة إحالة.</w:t>
      </w:r>
    </w:p>
    <w:p>
      <w:pPr>
        <w:pStyle w:val="ListBullet"/>
        <w:jc w:val="right"/>
        <w:bidi/>
      </w:pPr>
      <w:r>
        <w:rPr>
          <w:b/>
        </w:rPr>
        <w:t xml:space="preserve">ثالثاً — </w:t>
      </w:r>
      <w:r>
        <w:t>اتصل بـ virCBAM (hello@viresg.com) لمعرفة إن كانوا يبحثون عن شريك جزائري — قد يكون أسرع من بناء startup من الصفر، ولا يمنعك من تسجيل شركتك.</w:t>
      </w:r>
    </w:p>
    <w:p>
      <w:pPr>
        <w:pStyle w:val="ListBullet"/>
        <w:jc w:val="right"/>
        <w:bidi/>
      </w:pPr>
      <w:r>
        <w:rPr>
          <w:b/>
        </w:rPr>
        <w:t xml:space="preserve">رابعاً — </w:t>
      </w:r>
      <w:r>
        <w:t>أعِد صياغة السؤال لأنطون: بعد الاعتماد والقضية، أضف: "Who in Green and Fair would sign the agreement — Ms Kitipova as head of the verification body? And are you an employee or an external partner?"</w:t>
      </w:r>
    </w:p>
    <w:p>
      <w:pPr>
        <w:pStyle w:val="ListBullet"/>
        <w:jc w:val="right"/>
        <w:bidi/>
      </w:pPr>
      <w:r>
        <w:rPr>
          <w:b/>
        </w:rPr>
        <w:t xml:space="preserve">خامساً — </w:t>
      </w:r>
      <w:r>
        <w:t>استهدف Fertial وALSOLB وECDE فقط في 2026–2027. Tosyalı وSorfert وAOA ستأتي بمحققيها من الخارج.</w:t>
      </w:r>
    </w:p>
    <w:p>
      <w:pPr>
        <w:jc w:val="right"/>
        <w:bidi/>
      </w:pPr>
      <w:r>
        <w:rPr>
          <w:b w:val="0"/>
          <w:i w:val="0"/>
        </w:rPr>
        <w:t xml:space="preserve"> </w:t>
      </w:r>
    </w:p>
    <w:p>
      <w:pPr>
        <w:jc w:val="right"/>
        <w:bidi/>
      </w:pPr>
      <w:r>
        <w:rPr>
          <w:b w:val="0"/>
          <w:i w:val="0"/>
          <w:color w:val="555555"/>
          <w:sz w:val="15"/>
        </w:rPr>
        <w:t>المصادر: eea.government.bg (قائمة المحققين وقائمة أفراد G&amp;F، يناير–مارس 2026) · taxation-customs.ec.europa.eu State-of-play CBAM accreditation (07/2026) · cbamguide.com (08/2026) · gmk.center (07/2026) · eeas.europa.eu/delegations/algeria (02/2026) · ecotimesdz.com 21/02/2026 · lalgerieaujourdhui.dz 18/02/2026 · taqathyplus.org · ptx-hub.org (06/2026) · alger16.dz / journal-lanation.com 04/2025 · fnh.ma 27/07/2026 (IMANOR) · sgs.com (fr-ma) · bureauveritas.fr · tuv.com · rina.org · emicert.com · seragazidogrulama.com (AURA/Eurocert) · tse.org.tr · liners.com/vircbam · danem-test.com · standards.iteh.ai · algerie-eco.com 08/09/2026 · maghrebemergent.news 08/09/2026 و24/06/2025 · elwatan 18/01/2019 (تنصيب مديرة CRE).</w:t>
      </w:r>
    </w:p>
    <w:sectPr w:rsidR="00FC693F" w:rsidRPr="0006063C" w:rsidSect="00034616">
      <w:pgSz w:w="12240" w:h="15840"/>
      <w:pgMar w:top="907" w:right="1134"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