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i w:val="0"/>
          <w:color w:val="1F3A5F"/>
          <w:sz w:val="32"/>
        </w:rPr>
        <w:t>ملف استخباراتي — منظومة تحقق CBAM: الشريك، المنظّمون، المنافسون، المنشآت الجزائرية، المؤسسات</w:t>
      </w:r>
    </w:p>
    <w:p>
      <w:pPr>
        <w:jc w:val="right"/>
        <w:bidi/>
      </w:pPr>
      <w:r>
        <w:rPr>
          <w:b w:val="0"/>
          <w:i/>
          <w:color w:val="555555"/>
          <w:sz w:val="19"/>
        </w:rPr>
        <w:t>وثيقة داخلية سرية — حسام بن مراح — 22 سبتمبر 2026 — مصادر مفتوحة فقط (OSINT)</w:t>
      </w:r>
    </w:p>
    <w:p>
      <w:pPr>
        <w:pStyle w:val="Heading1"/>
        <w:jc w:val="right"/>
        <w:bidi/>
      </w:pPr>
      <w:r>
        <w:rPr>
          <w:color w:val="A01E1E"/>
        </w:rPr>
        <w:t>0. النتيجة التي تغيّر كل شيء — اقرأها أولاً</w:t>
      </w:r>
    </w:p>
    <w:tbl>
      <w:tblPr>
        <w:tblW w:type="auto" w:w="0"/>
        <w:tblLook w:firstColumn="1" w:firstRow="1" w:lastColumn="0" w:lastRow="0" w:noHBand="0" w:noVBand="1" w:val="04A0"/>
        <w:bidiVisual/>
      </w:tblPr>
      <w:tblGrid>
        <w:gridCol w:w="9972"/>
      </w:tblGrid>
      <w:tr>
        <w:tc>
          <w:tcPr>
            <w:tcW w:type="dxa" w:w="9638"/>
            <w:shd w:val="clear" w:color="auto" w:fill="FDECEC"/>
          </w:tcPr>
          <w:p>
            <w:pPr>
              <w:jc w:val="right"/>
              <w:bidi/>
            </w:pPr>
            <w:r/>
            <w:r>
              <w:rPr>
                <w:b/>
                <w:color w:val="A01E1E"/>
                <w:sz w:val="21"/>
              </w:rPr>
              <w:t>Green and Fair JSC ليست شركة "نظيفة" السجل. هي المحقق السابق لمحطات فحم "إمبراطورية كوفاتشكي" في بلغاريا (حتى 2018)، وهي القضية التي فتحت فيها النيابة الأوروبية (EPPO) تحقيقاً في فبراير 2023 بشأن تزوير تقارير انبعاثات بملايين اليورو. الاتهامات الرئيسية تستهدف المحقق اللاحق (GMI Verify، منذ 2019)، لكن اسم Green and Fair يرد في كل تقرير صحفي وتحقيق (OCCRP، Greenpeace، За Земята) عن القضية. هذا لا يعني أنهم مذنبون — لكنه يعني أن أي جهة جزائرية رسمية ستُجري بحثاً بسيطاً ستجد هذا فوراً.</w:t>
            </w:r>
          </w:p>
        </w:tc>
      </w:tr>
    </w:tbl>
    <w:p/>
    <w:p>
      <w:pPr>
        <w:jc w:val="right"/>
        <w:bidi/>
      </w:pPr>
      <w:r>
        <w:rPr>
          <w:b/>
          <w:i w:val="0"/>
        </w:rPr>
        <w:t>ما يعنيه هذا عملياً لك:</w:t>
      </w:r>
    </w:p>
    <w:p>
      <w:pPr>
        <w:pStyle w:val="ListBullet"/>
        <w:jc w:val="right"/>
        <w:bidi/>
      </w:pPr>
      <w:r>
        <w:rPr>
          <w:b/>
        </w:rPr>
        <w:t xml:space="preserve">1. </w:t>
      </w:r>
      <w:r>
        <w:t>لا تُقدّم G&amp;F للوزير كشريك "موثوق" قبل أن تحسم هذه النقطة. الوزارة لديها مستشارون وسيبحثون.</w:t>
      </w:r>
    </w:p>
    <w:p>
      <w:pPr>
        <w:pStyle w:val="ListBullet"/>
        <w:jc w:val="right"/>
        <w:bidi/>
      </w:pPr>
      <w:r>
        <w:rPr>
          <w:b/>
        </w:rPr>
        <w:t xml:space="preserve">2. </w:t>
      </w:r>
      <w:r>
        <w:t>اسأل أنطون كتابياً وبأدب عن القضية — جوابه (شفافيته أو تهرّبه) يحدد إن كنت تكمل معه.</w:t>
      </w:r>
    </w:p>
    <w:p>
      <w:pPr>
        <w:pStyle w:val="ListBullet"/>
        <w:jc w:val="right"/>
        <w:bidi/>
      </w:pPr>
      <w:r>
        <w:rPr>
          <w:b/>
        </w:rPr>
        <w:t xml:space="preserve">3. </w:t>
      </w:r>
      <w:r>
        <w:t>افتح مساراً موازياً مع محقق ثانٍ (انظر القسم 3) حتى لا تكون رهينة شريك واحد.</w:t>
      </w:r>
    </w:p>
    <w:p>
      <w:pPr>
        <w:pStyle w:val="ListBullet"/>
        <w:jc w:val="right"/>
        <w:bidi/>
      </w:pPr>
      <w:r>
        <w:rPr>
          <w:b/>
        </w:rPr>
        <w:t xml:space="preserve">4. </w:t>
      </w:r>
      <w:r>
        <w:t>الحقيقة المطمئنة: اعتماد BAS لا يزال سارياً حتى 27/10/2029، وجُدّد في 12/03/2026 — أي أن الهيئة البلغارية لم تسحب اعتمادهم بعد ثلاث سنوات من فتح التحقيق. وG&amp;F هي من فقدت العقود حين بدأ التلاعب المزعوم (2019)، لا من نفّذه.</w:t>
      </w:r>
    </w:p>
    <w:p>
      <w:pPr>
        <w:pStyle w:val="Heading1"/>
        <w:jc w:val="right"/>
        <w:bidi/>
      </w:pPr>
      <w:r>
        <w:rPr>
          <w:color w:val="1F3A5F"/>
        </w:rPr>
        <w:t>1. الشريك: Green and Fair JSC (ГРИЙН ЕНД ФЕЪР АД)</w:t>
      </w:r>
    </w:p>
    <w:tbl>
      <w:tblPr>
        <w:tblStyle w:val="TableGrid"/>
        <w:tblW w:type="auto" w:w="0"/>
        <w:tblLook w:firstColumn="1" w:firstRow="1" w:lastColumn="0" w:lastRow="0" w:noHBand="0" w:noVBand="1" w:val="04A0"/>
        <w:bidiVisual/>
      </w:tblPr>
      <w:tblGrid>
        <w:gridCol w:w="3324"/>
        <w:gridCol w:w="3324"/>
        <w:gridCol w:w="3324"/>
      </w:tblGrid>
      <w:tr>
        <w:tc>
          <w:tcPr>
            <w:tcW w:type="dxa" w:w="1701"/>
            <w:shd w:val="clear" w:color="auto" w:fill="1F3A5F"/>
          </w:tcPr>
          <w:p>
            <w:pPr>
              <w:jc w:val="right"/>
              <w:bidi/>
            </w:pPr>
            <w:r/>
            <w:r>
              <w:rPr>
                <w:b/>
                <w:color w:val="FFFFFF"/>
                <w:sz w:val="18"/>
              </w:rPr>
              <w:t>البند</w:t>
            </w:r>
          </w:p>
        </w:tc>
        <w:tc>
          <w:tcPr>
            <w:tcW w:type="dxa" w:w="5669"/>
            <w:shd w:val="clear" w:color="auto" w:fill="1F3A5F"/>
          </w:tcPr>
          <w:p>
            <w:pPr>
              <w:jc w:val="right"/>
              <w:bidi/>
            </w:pPr>
            <w:r/>
            <w:r>
              <w:rPr>
                <w:b/>
                <w:color w:val="FFFFFF"/>
                <w:sz w:val="18"/>
              </w:rPr>
              <w:t>المعلومة</w:t>
            </w:r>
          </w:p>
        </w:tc>
        <w:tc>
          <w:tcPr>
            <w:tcW w:type="dxa" w:w="1984"/>
            <w:shd w:val="clear" w:color="auto" w:fill="1F3A5F"/>
          </w:tcPr>
          <w:p>
            <w:pPr>
              <w:jc w:val="right"/>
              <w:bidi/>
            </w:pPr>
            <w:r/>
            <w:r>
              <w:rPr>
                <w:b/>
                <w:color w:val="FFFFFF"/>
                <w:sz w:val="18"/>
              </w:rPr>
              <w:t>المصدر</w:t>
            </w:r>
          </w:p>
        </w:tc>
      </w:tr>
      <w:tr>
        <w:tc>
          <w:tcPr>
            <w:tcW w:type="dxa" w:w="1701"/>
          </w:tcPr>
          <w:p>
            <w:pPr>
              <w:jc w:val="right"/>
              <w:bidi/>
            </w:pPr>
            <w:r/>
            <w:r>
              <w:rPr>
                <w:sz w:val="18"/>
              </w:rPr>
              <w:t>الاسم القانوني / EIK</w:t>
            </w:r>
          </w:p>
        </w:tc>
        <w:tc>
          <w:tcPr>
            <w:tcW w:type="dxa" w:w="5669"/>
          </w:tcPr>
          <w:p>
            <w:pPr>
              <w:jc w:val="right"/>
              <w:bidi/>
            </w:pPr>
            <w:r/>
            <w:r>
              <w:rPr>
                <w:sz w:val="18"/>
              </w:rPr>
              <w:t>ГРИИН ЕНД ФЕЪР АД — EIK 200020624 — تأسست 04/02/2008 — مسجلة VAT منذ 19/02/2008 — نشاط KID 7490</w:t>
            </w:r>
          </w:p>
        </w:tc>
        <w:tc>
          <w:tcPr>
            <w:tcW w:type="dxa" w:w="1984"/>
          </w:tcPr>
          <w:p>
            <w:pPr>
              <w:jc w:val="right"/>
              <w:bidi/>
            </w:pPr>
            <w:r/>
            <w:r>
              <w:rPr>
                <w:sz w:val="18"/>
              </w:rPr>
              <w:t>finansi.bg</w:t>
            </w:r>
          </w:p>
        </w:tc>
      </w:tr>
      <w:tr>
        <w:tc>
          <w:tcPr>
            <w:tcW w:type="dxa" w:w="1701"/>
          </w:tcPr>
          <w:p>
            <w:pPr>
              <w:jc w:val="right"/>
              <w:bidi/>
            </w:pPr>
            <w:r/>
            <w:r>
              <w:rPr>
                <w:sz w:val="18"/>
              </w:rPr>
              <w:t>المقر</w:t>
            </w:r>
          </w:p>
        </w:tc>
        <w:tc>
          <w:tcPr>
            <w:tcW w:type="dxa" w:w="5669"/>
          </w:tcPr>
          <w:p>
            <w:pPr>
              <w:jc w:val="right"/>
              <w:bidi/>
            </w:pPr>
            <w:r/>
            <w:r>
              <w:rPr>
                <w:sz w:val="18"/>
              </w:rPr>
              <w:t>صوفيا، حي Студентски град، بوليفار проф. Георги Брадиславов 3A، الطابق 2، مكتب 9 — office@green-and-fair.com — هاتف 0882 368 364</w:t>
            </w:r>
          </w:p>
        </w:tc>
        <w:tc>
          <w:tcPr>
            <w:tcW w:type="dxa" w:w="1984"/>
          </w:tcPr>
          <w:p>
            <w:pPr>
              <w:jc w:val="right"/>
              <w:bidi/>
            </w:pPr>
            <w:r/>
            <w:r>
              <w:rPr>
                <w:sz w:val="18"/>
              </w:rPr>
              <w:t>سجل BAS</w:t>
            </w:r>
          </w:p>
        </w:tc>
      </w:tr>
      <w:tr>
        <w:tc>
          <w:tcPr>
            <w:tcW w:type="dxa" w:w="1701"/>
          </w:tcPr>
          <w:p>
            <w:pPr>
              <w:jc w:val="right"/>
              <w:bidi/>
            </w:pPr>
            <w:r/>
            <w:r>
              <w:rPr>
                <w:sz w:val="18"/>
              </w:rPr>
              <w:t>الاعتماد</w:t>
            </w:r>
          </w:p>
        </w:tc>
        <w:tc>
          <w:tcPr>
            <w:tcW w:type="dxa" w:w="5669"/>
          </w:tcPr>
          <w:p>
            <w:pPr>
              <w:jc w:val="right"/>
              <w:bidi/>
            </w:pPr>
            <w:r/>
            <w:r>
              <w:rPr>
                <w:sz w:val="18"/>
              </w:rPr>
              <w:t>شهادة BAS رقم 12 ОВ — اعتماد أولي 21/11/2008 — الدورة الحالية سارية من 12/03/2026 حتى 27/10/2029 — النطاق: EU ETS (2018/2066، 2019/331، 2019/1842) فقط. لا نطاق CBAM بعد.</w:t>
            </w:r>
          </w:p>
        </w:tc>
        <w:tc>
          <w:tcPr>
            <w:tcW w:type="dxa" w:w="1984"/>
          </w:tcPr>
          <w:p>
            <w:pPr>
              <w:jc w:val="right"/>
              <w:bidi/>
            </w:pPr>
            <w:r/>
            <w:r>
              <w:rPr>
                <w:sz w:val="18"/>
              </w:rPr>
              <w:t>nab-bas.bg</w:t>
            </w:r>
          </w:p>
        </w:tc>
      </w:tr>
      <w:tr>
        <w:tc>
          <w:tcPr>
            <w:tcW w:type="dxa" w:w="1701"/>
          </w:tcPr>
          <w:p>
            <w:pPr>
              <w:jc w:val="right"/>
              <w:bidi/>
            </w:pPr>
            <w:r/>
            <w:r>
              <w:rPr>
                <w:sz w:val="18"/>
              </w:rPr>
              <w:t>الملكية الحالية</w:t>
            </w:r>
          </w:p>
        </w:tc>
        <w:tc>
          <w:tcPr>
            <w:tcW w:type="dxa" w:w="5669"/>
          </w:tcPr>
          <w:p>
            <w:pPr>
              <w:jc w:val="right"/>
              <w:bidi/>
            </w:pPr>
            <w:r/>
            <w:r>
              <w:rPr>
                <w:sz w:val="18"/>
              </w:rPr>
              <w:t>Албена Корнели Китипова 50% + Румяна Георгиева Китипова 50% (منذ 2021). شركة عائلية.</w:t>
            </w:r>
          </w:p>
        </w:tc>
        <w:tc>
          <w:tcPr>
            <w:tcW w:type="dxa" w:w="1984"/>
          </w:tcPr>
          <w:p>
            <w:pPr>
              <w:jc w:val="right"/>
              <w:bidi/>
            </w:pPr>
            <w:r/>
            <w:r>
              <w:rPr>
                <w:sz w:val="18"/>
              </w:rPr>
              <w:t>finansi.bg</w:t>
            </w:r>
          </w:p>
        </w:tc>
      </w:tr>
      <w:tr>
        <w:tc>
          <w:tcPr>
            <w:tcW w:type="dxa" w:w="1701"/>
          </w:tcPr>
          <w:p>
            <w:pPr>
              <w:jc w:val="right"/>
              <w:bidi/>
            </w:pPr>
            <w:r/>
            <w:r>
              <w:rPr>
                <w:sz w:val="18"/>
              </w:rPr>
              <w:t>مجلس الإدارة</w:t>
            </w:r>
          </w:p>
        </w:tc>
        <w:tc>
          <w:tcPr>
            <w:tcW w:type="dxa" w:w="5669"/>
          </w:tcPr>
          <w:p>
            <w:pPr>
              <w:jc w:val="right"/>
              <w:bidi/>
            </w:pPr>
            <w:r/>
            <w:r>
              <w:rPr>
                <w:sz w:val="18"/>
              </w:rPr>
              <w:t>Атанас Антонов Китипов، Румяна Китипова، Албена Китипова. جهة الاتصال لدى BAS: Албена Китипова.</w:t>
            </w:r>
          </w:p>
        </w:tc>
        <w:tc>
          <w:tcPr>
            <w:tcW w:type="dxa" w:w="1984"/>
          </w:tcPr>
          <w:p>
            <w:pPr>
              <w:jc w:val="right"/>
              <w:bidi/>
            </w:pPr>
            <w:r/>
            <w:r>
              <w:rPr>
                <w:sz w:val="18"/>
              </w:rPr>
              <w:t>finansi.bg / BAS</w:t>
            </w:r>
          </w:p>
        </w:tc>
      </w:tr>
      <w:tr>
        <w:tc>
          <w:tcPr>
            <w:tcW w:type="dxa" w:w="1701"/>
          </w:tcPr>
          <w:p>
            <w:pPr>
              <w:jc w:val="right"/>
              <w:bidi/>
            </w:pPr>
            <w:r/>
            <w:r>
              <w:rPr>
                <w:sz w:val="18"/>
              </w:rPr>
              <w:t>تاريخ الملكية</w:t>
            </w:r>
          </w:p>
        </w:tc>
        <w:tc>
          <w:tcPr>
            <w:tcW w:type="dxa" w:w="5669"/>
          </w:tcPr>
          <w:p>
            <w:pPr>
              <w:jc w:val="right"/>
              <w:bidi/>
            </w:pPr>
            <w:r/>
            <w:r>
              <w:rPr>
                <w:sz w:val="18"/>
              </w:rPr>
              <w:t>2008: Любомир Таков 50% + Румяна Китипова 50% → 2013: Атанас Китипов دخل بدل Таков → 2019: تحوّلت من أسهم لحاملها (bearer shares) إلى مالكين مُعلنين → 2021: البنتان/الزوجة.</w:t>
            </w:r>
          </w:p>
        </w:tc>
        <w:tc>
          <w:tcPr>
            <w:tcW w:type="dxa" w:w="1984"/>
          </w:tcPr>
          <w:p>
            <w:pPr>
              <w:jc w:val="right"/>
              <w:bidi/>
            </w:pPr>
            <w:r/>
            <w:r>
              <w:rPr>
                <w:sz w:val="18"/>
              </w:rPr>
              <w:t>finansi.bg</w:t>
            </w:r>
          </w:p>
        </w:tc>
      </w:tr>
      <w:tr>
        <w:tc>
          <w:tcPr>
            <w:tcW w:type="dxa" w:w="1701"/>
          </w:tcPr>
          <w:p>
            <w:pPr>
              <w:jc w:val="right"/>
              <w:bidi/>
            </w:pPr>
            <w:r/>
            <w:r>
              <w:rPr>
                <w:sz w:val="18"/>
              </w:rPr>
              <w:t>"أنطون"</w:t>
            </w:r>
          </w:p>
        </w:tc>
        <w:tc>
          <w:tcPr>
            <w:tcW w:type="dxa" w:w="5669"/>
          </w:tcPr>
          <w:p>
            <w:pPr>
              <w:jc w:val="right"/>
              <w:bidi/>
            </w:pPr>
            <w:r/>
            <w:r>
              <w:rPr>
                <w:sz w:val="18"/>
              </w:rPr>
              <w:t>لا يظهر بهذا الاسم في السجل التجاري. الأرجح: Атанас Антонов Китипов (Anton = تبسيط للأجانب) أو موظف/مستشار. Евгени Соколовски ظهر كمستشار للشركة في تحقيق OCCRP 2021. اطلب اسمه الكامل ومنصبه.</w:t>
            </w:r>
          </w:p>
        </w:tc>
        <w:tc>
          <w:tcPr>
            <w:tcW w:type="dxa" w:w="1984"/>
          </w:tcPr>
          <w:p>
            <w:pPr>
              <w:jc w:val="right"/>
              <w:bidi/>
            </w:pPr>
            <w:r/>
            <w:r>
              <w:rPr>
                <w:sz w:val="18"/>
              </w:rPr>
              <w:t>استنتاج</w:t>
            </w:r>
          </w:p>
        </w:tc>
      </w:tr>
      <w:tr>
        <w:tc>
          <w:tcPr>
            <w:tcW w:type="dxa" w:w="1701"/>
          </w:tcPr>
          <w:p>
            <w:pPr>
              <w:jc w:val="right"/>
              <w:bidi/>
            </w:pPr>
            <w:r/>
            <w:r>
              <w:rPr>
                <w:sz w:val="18"/>
              </w:rPr>
              <w:t>الخدمات المعلنة</w:t>
            </w:r>
          </w:p>
        </w:tc>
        <w:tc>
          <w:tcPr>
            <w:tcW w:type="dxa" w:w="5669"/>
          </w:tcPr>
          <w:p>
            <w:pPr>
              <w:jc w:val="right"/>
              <w:bidi/>
            </w:pPr>
            <w:r/>
            <w:r>
              <w:rPr>
                <w:sz w:val="18"/>
              </w:rPr>
              <w:t>تحقق EU ETS 1 و2، تحقق مستوى النشاط، تدقيق غازات مفلورة، تدقيق بيئي طوعي، صفحة CBAM. الموقع بالبلغارية أساساً.</w:t>
            </w:r>
          </w:p>
        </w:tc>
        <w:tc>
          <w:tcPr>
            <w:tcW w:type="dxa" w:w="1984"/>
          </w:tcPr>
          <w:p>
            <w:pPr>
              <w:jc w:val="right"/>
              <w:bidi/>
            </w:pPr>
            <w:r/>
            <w:r>
              <w:rPr>
                <w:sz w:val="18"/>
              </w:rPr>
              <w:t>green-and-fair.com</w:t>
            </w:r>
          </w:p>
        </w:tc>
      </w:tr>
      <w:tr>
        <w:tc>
          <w:tcPr>
            <w:tcW w:type="dxa" w:w="1701"/>
          </w:tcPr>
          <w:p>
            <w:pPr>
              <w:jc w:val="right"/>
              <w:bidi/>
            </w:pPr>
            <w:r/>
            <w:r>
              <w:rPr>
                <w:sz w:val="18"/>
              </w:rPr>
              <w:t>حجم الشركة</w:t>
            </w:r>
          </w:p>
        </w:tc>
        <w:tc>
          <w:tcPr>
            <w:tcW w:type="dxa" w:w="5669"/>
          </w:tcPr>
          <w:p>
            <w:pPr>
              <w:jc w:val="right"/>
              <w:bidi/>
            </w:pPr>
            <w:r/>
            <w:r>
              <w:rPr>
                <w:sz w:val="18"/>
              </w:rPr>
              <w:t>صغيرة (مكتب واحد). بلغاريا كلها فيها 7 محققين ETS معتمدين. 3 هيئات ISO 14065 مدرجة في الدليل العالمي.</w:t>
            </w:r>
          </w:p>
        </w:tc>
        <w:tc>
          <w:tcPr>
            <w:tcW w:type="dxa" w:w="1984"/>
          </w:tcPr>
          <w:p>
            <w:pPr>
              <w:jc w:val="right"/>
              <w:bidi/>
            </w:pPr>
            <w:r/>
            <w:r>
              <w:rPr>
                <w:sz w:val="18"/>
              </w:rPr>
              <w:t>fakti.bg / embeddedcarbonrecord</w:t>
            </w:r>
          </w:p>
        </w:tc>
      </w:tr>
    </w:tbl>
    <w:p/>
    <w:p>
      <w:pPr>
        <w:jc w:val="right"/>
        <w:bidi/>
      </w:pPr>
      <w:r>
        <w:rPr>
          <w:b/>
          <w:i w:val="0"/>
        </w:rPr>
        <w:t>قضية كوفاتشكي — التسلسل الزمني الموثق:</w:t>
      </w:r>
    </w:p>
    <w:tbl>
      <w:tblPr>
        <w:tblStyle w:val="TableGrid"/>
        <w:tblW w:type="auto" w:w="0"/>
        <w:tblLook w:firstColumn="1" w:firstRow="1" w:lastColumn="0" w:lastRow="0" w:noHBand="0" w:noVBand="1" w:val="04A0"/>
        <w:bidiVisual/>
      </w:tblPr>
      <w:tblGrid>
        <w:gridCol w:w="4986"/>
        <w:gridCol w:w="4986"/>
      </w:tblGrid>
      <w:tr>
        <w:tc>
          <w:tcPr>
            <w:tcW w:type="dxa" w:w="1417"/>
            <w:shd w:val="clear" w:color="auto" w:fill="1F3A5F"/>
          </w:tcPr>
          <w:p>
            <w:pPr>
              <w:jc w:val="right"/>
              <w:bidi/>
            </w:pPr>
            <w:r/>
            <w:r>
              <w:rPr>
                <w:b/>
                <w:color w:val="FFFFFF"/>
                <w:sz w:val="18"/>
              </w:rPr>
              <w:t>التاريخ</w:t>
            </w:r>
          </w:p>
        </w:tc>
        <w:tc>
          <w:tcPr>
            <w:tcW w:type="dxa" w:w="7937"/>
            <w:shd w:val="clear" w:color="auto" w:fill="1F3A5F"/>
          </w:tcPr>
          <w:p>
            <w:pPr>
              <w:jc w:val="right"/>
              <w:bidi/>
            </w:pPr>
            <w:r/>
            <w:r>
              <w:rPr>
                <w:b/>
                <w:color w:val="FFFFFF"/>
                <w:sz w:val="18"/>
              </w:rPr>
              <w:t>الحدث</w:t>
            </w:r>
          </w:p>
        </w:tc>
      </w:tr>
      <w:tr>
        <w:tc>
          <w:tcPr>
            <w:tcW w:type="dxa" w:w="1417"/>
          </w:tcPr>
          <w:p>
            <w:pPr>
              <w:jc w:val="right"/>
              <w:bidi/>
            </w:pPr>
            <w:r/>
            <w:r>
              <w:rPr>
                <w:sz w:val="18"/>
              </w:rPr>
              <w:t>2008–2018</w:t>
            </w:r>
          </w:p>
        </w:tc>
        <w:tc>
          <w:tcPr>
            <w:tcW w:type="dxa" w:w="7937"/>
          </w:tcPr>
          <w:p>
            <w:pPr>
              <w:jc w:val="right"/>
              <w:bidi/>
            </w:pPr>
            <w:r/>
            <w:r>
              <w:rPr>
                <w:sz w:val="18"/>
              </w:rPr>
              <w:t>G&amp;F هي المحقق المعتمد لمحطات الفحم والتدفئة المرتبطة بـ Христо Ковачки (Бобов дол، Брикел، Марица 3، Топлофикация Перник/Сливен).</w:t>
            </w:r>
          </w:p>
        </w:tc>
      </w:tr>
      <w:tr>
        <w:tc>
          <w:tcPr>
            <w:tcW w:type="dxa" w:w="1417"/>
          </w:tcPr>
          <w:p>
            <w:pPr>
              <w:jc w:val="right"/>
              <w:bidi/>
            </w:pPr>
            <w:r/>
            <w:r>
              <w:rPr>
                <w:sz w:val="18"/>
              </w:rPr>
              <w:t>أوائل 2019</w:t>
            </w:r>
          </w:p>
        </w:tc>
        <w:tc>
          <w:tcPr>
            <w:tcW w:type="dxa" w:w="7937"/>
          </w:tcPr>
          <w:p>
            <w:pPr>
              <w:jc w:val="right"/>
              <w:bidi/>
            </w:pPr>
            <w:r/>
            <w:r>
              <w:rPr>
                <w:sz w:val="18"/>
              </w:rPr>
              <w:t>المحطات تُبدّل المحقق إلى GMI Verify (أسستها Габриела Илиева، 27 سنة، بلا خبرة) — وفي السنة نفسها تبدأ الانبعاثات المُبلَّغة بالانخفاض الحاد. G&amp;F أيضاً تُغيّر شكل تسجيلها في 2019 (إنهاء أسهم لحاملها).</w:t>
            </w:r>
          </w:p>
        </w:tc>
      </w:tr>
      <w:tr>
        <w:tc>
          <w:tcPr>
            <w:tcW w:type="dxa" w:w="1417"/>
          </w:tcPr>
          <w:p>
            <w:pPr>
              <w:jc w:val="right"/>
              <w:bidi/>
            </w:pPr>
            <w:r/>
            <w:r>
              <w:rPr>
                <w:sz w:val="18"/>
              </w:rPr>
              <w:t>يوليو 2021</w:t>
            </w:r>
          </w:p>
        </w:tc>
        <w:tc>
          <w:tcPr>
            <w:tcW w:type="dxa" w:w="7937"/>
          </w:tcPr>
          <w:p>
            <w:pPr>
              <w:jc w:val="right"/>
              <w:bidi/>
            </w:pPr>
            <w:r/>
            <w:r>
              <w:rPr>
                <w:sz w:val="18"/>
              </w:rPr>
              <w:t>تحقيق OCCRP: المحطتان وفّرتا 26.6–32.2 مليون € بتقارير منخفضة. مستشار G&amp;F Евгени Соколовски يُصرّح أن المسؤولية تقع على EEA أو BAS.</w:t>
            </w:r>
          </w:p>
        </w:tc>
      </w:tr>
      <w:tr>
        <w:tc>
          <w:tcPr>
            <w:tcW w:type="dxa" w:w="1417"/>
          </w:tcPr>
          <w:p>
            <w:pPr>
              <w:jc w:val="right"/>
              <w:bidi/>
            </w:pPr>
            <w:r/>
            <w:r>
              <w:rPr>
                <w:sz w:val="18"/>
              </w:rPr>
              <w:t>فبراير 2023</w:t>
            </w:r>
          </w:p>
        </w:tc>
        <w:tc>
          <w:tcPr>
            <w:tcW w:type="dxa" w:w="7937"/>
          </w:tcPr>
          <w:p>
            <w:pPr>
              <w:jc w:val="right"/>
              <w:bidi/>
            </w:pPr>
            <w:r/>
            <w:r>
              <w:rPr>
                <w:sz w:val="18"/>
              </w:rPr>
              <w:t>النيابة الأوروبية EPPO تعلن تحقيقاً: "شركة تحقق خاصة" قدّمت بيانات مزورة منذ 2017. مداهمات. تقرير За Земята: 5 محطات أخفت 1.96 مليون طن CO₂ = 74.7 مليون €.</w:t>
            </w:r>
          </w:p>
        </w:tc>
      </w:tr>
      <w:tr>
        <w:tc>
          <w:tcPr>
            <w:tcW w:type="dxa" w:w="1417"/>
          </w:tcPr>
          <w:p>
            <w:pPr>
              <w:jc w:val="right"/>
              <w:bidi/>
            </w:pPr>
            <w:r/>
            <w:r>
              <w:rPr>
                <w:sz w:val="18"/>
              </w:rPr>
              <w:t>2024–2026</w:t>
            </w:r>
          </w:p>
        </w:tc>
        <w:tc>
          <w:tcPr>
            <w:tcW w:type="dxa" w:w="7937"/>
          </w:tcPr>
          <w:p>
            <w:pPr>
              <w:jc w:val="right"/>
              <w:bidi/>
            </w:pPr>
            <w:r/>
            <w:r>
              <w:rPr>
                <w:sz w:val="18"/>
              </w:rPr>
              <w:t>لا إعلان عن اتهام رسمي ضد G&amp;F. Transparency International يدرج القضية في أطلس فساد المناخ (يناير 2026). اعتماد G&amp;F يُجدَّد في مارس 2026.</w:t>
            </w:r>
          </w:p>
        </w:tc>
      </w:tr>
    </w:tbl>
    <w:p/>
    <w:p>
      <w:pPr>
        <w:jc w:val="right"/>
        <w:bidi/>
      </w:pPr>
      <w:r>
        <w:rPr>
          <w:b w:val="0"/>
          <w:i/>
          <w:sz w:val="20"/>
        </w:rPr>
        <w:t>التقييم: G&amp;F هي "المحقق القديم الذي استُبدل حين بدأ التلاعب" — وهذا في صالحها ظاهرياً. لكن سنوات 2008–2018 لا تزال ضمن نطاق تحقيق EPPO ("منذ 2017"). الخطر عليك ليس قانونياً بل **سُمعياً** أمام الوزارة والمنشآت الحكومية.</w:t>
      </w:r>
    </w:p>
    <w:p>
      <w:pPr>
        <w:pStyle w:val="Heading1"/>
        <w:jc w:val="right"/>
        <w:bidi/>
      </w:pPr>
      <w:r>
        <w:rPr>
          <w:color w:val="1F3A5F"/>
        </w:rPr>
        <w:t>2. المنظّمون والجهات الرسمية</w:t>
      </w:r>
    </w:p>
    <w:tbl>
      <w:tblPr>
        <w:tblStyle w:val="TableGrid"/>
        <w:tblW w:type="auto" w:w="0"/>
        <w:tblLook w:firstColumn="1" w:firstRow="1" w:lastColumn="0" w:lastRow="0" w:noHBand="0" w:noVBand="1" w:val="04A0"/>
        <w:bidiVisual/>
      </w:tblPr>
      <w:tblGrid>
        <w:gridCol w:w="3324"/>
        <w:gridCol w:w="3324"/>
        <w:gridCol w:w="3324"/>
      </w:tblGrid>
      <w:tr>
        <w:tc>
          <w:tcPr>
            <w:tcW w:type="dxa" w:w="2041"/>
            <w:shd w:val="clear" w:color="auto" w:fill="1F3A5F"/>
          </w:tcPr>
          <w:p>
            <w:pPr>
              <w:jc w:val="right"/>
              <w:bidi/>
            </w:pPr>
            <w:r/>
            <w:r>
              <w:rPr>
                <w:b/>
                <w:color w:val="FFFFFF"/>
                <w:sz w:val="18"/>
              </w:rPr>
              <w:t>الجهة</w:t>
            </w:r>
          </w:p>
        </w:tc>
        <w:tc>
          <w:tcPr>
            <w:tcW w:type="dxa" w:w="3628"/>
            <w:shd w:val="clear" w:color="auto" w:fill="1F3A5F"/>
          </w:tcPr>
          <w:p>
            <w:pPr>
              <w:jc w:val="right"/>
              <w:bidi/>
            </w:pPr>
            <w:r/>
            <w:r>
              <w:rPr>
                <w:b/>
                <w:color w:val="FFFFFF"/>
                <w:sz w:val="18"/>
              </w:rPr>
              <w:t>الدور</w:t>
            </w:r>
          </w:p>
        </w:tc>
        <w:tc>
          <w:tcPr>
            <w:tcW w:type="dxa" w:w="3685"/>
            <w:shd w:val="clear" w:color="auto" w:fill="1F3A5F"/>
          </w:tcPr>
          <w:p>
            <w:pPr>
              <w:jc w:val="right"/>
              <w:bidi/>
            </w:pPr>
            <w:r/>
            <w:r>
              <w:rPr>
                <w:b/>
                <w:color w:val="FFFFFF"/>
                <w:sz w:val="18"/>
              </w:rPr>
              <w:t>ما يهمك</w:t>
            </w:r>
          </w:p>
        </w:tc>
      </w:tr>
      <w:tr>
        <w:tc>
          <w:tcPr>
            <w:tcW w:type="dxa" w:w="2041"/>
          </w:tcPr>
          <w:p>
            <w:pPr>
              <w:jc w:val="right"/>
              <w:bidi/>
            </w:pPr>
            <w:r/>
            <w:r>
              <w:rPr>
                <w:sz w:val="18"/>
              </w:rPr>
              <w:t>المفوضية الأوروبية — DG TAXUD</w:t>
            </w:r>
          </w:p>
        </w:tc>
        <w:tc>
          <w:tcPr>
            <w:tcW w:type="dxa" w:w="3628"/>
          </w:tcPr>
          <w:p>
            <w:pPr>
              <w:jc w:val="right"/>
              <w:bidi/>
            </w:pPr>
            <w:r/>
            <w:r>
              <w:rPr>
                <w:sz w:val="18"/>
              </w:rPr>
              <w:t>السلطة المركزية لـ CBAM: السجل، قوائم المحققين المعتمدين، الإرشادات.</w:t>
            </w:r>
          </w:p>
        </w:tc>
        <w:tc>
          <w:tcPr>
            <w:tcW w:type="dxa" w:w="3685"/>
          </w:tcPr>
          <w:p>
            <w:pPr>
              <w:jc w:val="right"/>
              <w:bidi/>
            </w:pPr>
            <w:r/>
            <w:r>
              <w:rPr>
                <w:sz w:val="18"/>
              </w:rPr>
              <w:t>قائمة المحققين المعتمدين ستُنشر على صفحة "Verification of CBAM emissions" — راقبها أسبوعياً؛ تحقق إن ظهرت G&amp;F.</w:t>
            </w:r>
          </w:p>
        </w:tc>
      </w:tr>
      <w:tr>
        <w:tc>
          <w:tcPr>
            <w:tcW w:type="dxa" w:w="2041"/>
          </w:tcPr>
          <w:p>
            <w:pPr>
              <w:jc w:val="right"/>
              <w:bidi/>
            </w:pPr>
            <w:r/>
            <w:r>
              <w:rPr>
                <w:sz w:val="18"/>
              </w:rPr>
              <w:t>European Accreditation (EA)</w:t>
            </w:r>
          </w:p>
        </w:tc>
        <w:tc>
          <w:tcPr>
            <w:tcW w:type="dxa" w:w="3628"/>
          </w:tcPr>
          <w:p>
            <w:pPr>
              <w:jc w:val="right"/>
              <w:bidi/>
            </w:pPr>
            <w:r/>
            <w:r>
              <w:rPr>
                <w:sz w:val="18"/>
              </w:rPr>
              <w:t>التنسيق بين هيئات الاعتماد الوطنية وتقييم الأقران.</w:t>
            </w:r>
          </w:p>
        </w:tc>
        <w:tc>
          <w:tcPr>
            <w:tcW w:type="dxa" w:w="3685"/>
          </w:tcPr>
          <w:p>
            <w:pPr>
              <w:jc w:val="right"/>
              <w:bidi/>
            </w:pPr>
            <w:r/>
            <w:r>
              <w:rPr>
                <w:sz w:val="18"/>
              </w:rPr>
              <w:t>BAS لم تكن بعد على قائمة EA لـ CBAM في يوليو 2026 (ظهرت في قائمة المفوضية فقط) — نقطة ضعف محتملة للمسار البلغاري.</w:t>
            </w:r>
          </w:p>
        </w:tc>
      </w:tr>
      <w:tr>
        <w:tc>
          <w:tcPr>
            <w:tcW w:type="dxa" w:w="2041"/>
          </w:tcPr>
          <w:p>
            <w:pPr>
              <w:jc w:val="right"/>
              <w:bidi/>
            </w:pPr>
            <w:r/>
            <w:r>
              <w:rPr>
                <w:sz w:val="18"/>
              </w:rPr>
              <w:t>BAS (ИА БСА) — بلغاريا</w:t>
            </w:r>
          </w:p>
        </w:tc>
        <w:tc>
          <w:tcPr>
            <w:tcW w:type="dxa" w:w="3628"/>
          </w:tcPr>
          <w:p>
            <w:pPr>
              <w:jc w:val="right"/>
              <w:bidi/>
            </w:pPr>
            <w:r/>
            <w:r>
              <w:rPr>
                <w:sz w:val="18"/>
              </w:rPr>
              <w:t>هيئة اعتماد G&amp;F. تقبل طلبات CBAM.</w:t>
            </w:r>
          </w:p>
        </w:tc>
        <w:tc>
          <w:tcPr>
            <w:tcW w:type="dxa" w:w="3685"/>
          </w:tcPr>
          <w:p>
            <w:pPr>
              <w:jc w:val="right"/>
              <w:bidi/>
            </w:pPr>
            <w:r/>
            <w:r>
              <w:rPr>
                <w:sz w:val="18"/>
              </w:rPr>
              <w:t>اسأل أنطون: هل قُدّم طلب توسيع النطاق؟ رقم الملف؟</w:t>
            </w:r>
          </w:p>
        </w:tc>
      </w:tr>
      <w:tr>
        <w:tc>
          <w:tcPr>
            <w:tcW w:type="dxa" w:w="2041"/>
          </w:tcPr>
          <w:p>
            <w:pPr>
              <w:jc w:val="right"/>
              <w:bidi/>
            </w:pPr>
            <w:r/>
            <w:r>
              <w:rPr>
                <w:sz w:val="18"/>
              </w:rPr>
              <w:t>هيئات اعتماد تقبل طلبات CBAM (يوليو 2026)</w:t>
            </w:r>
          </w:p>
        </w:tc>
        <w:tc>
          <w:tcPr>
            <w:tcW w:type="dxa" w:w="3628"/>
          </w:tcPr>
          <w:p>
            <w:pPr>
              <w:jc w:val="right"/>
              <w:bidi/>
            </w:pPr>
            <w:r/>
            <w:r>
              <w:rPr>
                <w:sz w:val="18"/>
              </w:rPr>
              <w:t>BELAC، BAS، DANAK، FINAS، DAkkS، Accredia، OLAS، RvA، PCA، ENAC، Swedac</w:t>
            </w:r>
          </w:p>
        </w:tc>
        <w:tc>
          <w:tcPr>
            <w:tcW w:type="dxa" w:w="3685"/>
          </w:tcPr>
          <w:p>
            <w:pPr>
              <w:jc w:val="right"/>
              <w:bidi/>
            </w:pPr>
            <w:r/>
            <w:r>
              <w:rPr>
                <w:sz w:val="18"/>
              </w:rPr>
              <w:t>7 منها تقبل هيئات من خارج الاتحاد (COFRAC مؤكدة) — مسار محتمل لهيئة جزائرية مستقبلاً.</w:t>
            </w:r>
          </w:p>
        </w:tc>
      </w:tr>
      <w:tr>
        <w:tc>
          <w:tcPr>
            <w:tcW w:type="dxa" w:w="2041"/>
          </w:tcPr>
          <w:p>
            <w:pPr>
              <w:jc w:val="right"/>
              <w:bidi/>
            </w:pPr>
            <w:r/>
            <w:r>
              <w:rPr>
                <w:sz w:val="18"/>
              </w:rPr>
              <w:t>ALGERAC — الجزائر</w:t>
            </w:r>
          </w:p>
        </w:tc>
        <w:tc>
          <w:tcPr>
            <w:tcW w:type="dxa" w:w="3628"/>
          </w:tcPr>
          <w:p>
            <w:pPr>
              <w:jc w:val="right"/>
              <w:bidi/>
            </w:pPr>
            <w:r/>
            <w:r>
              <w:rPr>
                <w:sz w:val="18"/>
              </w:rPr>
              <w:t>هيئة الاعتماد الجزائرية. المدير العام: نور الدين بوديسة. ~130+ هيئة معتمدة (مخابر، تفتيش، تصديق).</w:t>
            </w:r>
          </w:p>
        </w:tc>
        <w:tc>
          <w:tcPr>
            <w:tcW w:type="dxa" w:w="3685"/>
          </w:tcPr>
          <w:p>
            <w:pPr>
              <w:jc w:val="right"/>
              <w:bidi/>
            </w:pPr>
            <w:r/>
            <w:r>
              <w:rPr>
                <w:sz w:val="18"/>
              </w:rPr>
              <w:t>لا نطاق ISO 14065. مخبر Fertial عنابة ومخبر مصفاة سكيكدة معتمدان لديها — مدخل طبيعي.</w:t>
            </w:r>
          </w:p>
        </w:tc>
      </w:tr>
      <w:tr>
        <w:tc>
          <w:tcPr>
            <w:tcW w:type="dxa" w:w="2041"/>
          </w:tcPr>
          <w:p>
            <w:pPr>
              <w:jc w:val="right"/>
              <w:bidi/>
            </w:pPr>
            <w:r/>
            <w:r>
              <w:rPr>
                <w:sz w:val="18"/>
              </w:rPr>
              <w:t>IANOR</w:t>
            </w:r>
          </w:p>
        </w:tc>
        <w:tc>
          <w:tcPr>
            <w:tcW w:type="dxa" w:w="3628"/>
          </w:tcPr>
          <w:p>
            <w:pPr>
              <w:jc w:val="right"/>
              <w:bidi/>
            </w:pPr>
            <w:r/>
            <w:r>
              <w:rPr>
                <w:sz w:val="18"/>
              </w:rPr>
              <w:t>المعهد الجزائري للتقييس.</w:t>
            </w:r>
          </w:p>
        </w:tc>
        <w:tc>
          <w:tcPr>
            <w:tcW w:type="dxa" w:w="3685"/>
          </w:tcPr>
          <w:p>
            <w:pPr>
              <w:jc w:val="right"/>
              <w:bidi/>
            </w:pPr>
            <w:r/>
            <w:r>
              <w:rPr>
                <w:sz w:val="18"/>
              </w:rPr>
              <w:t>شريك محتمل لتبنّي ISO 14064/14065 كمواصفات وطنية.</w:t>
            </w:r>
          </w:p>
        </w:tc>
      </w:tr>
      <w:tr>
        <w:tc>
          <w:tcPr>
            <w:tcW w:type="dxa" w:w="2041"/>
          </w:tcPr>
          <w:p>
            <w:pPr>
              <w:jc w:val="right"/>
              <w:bidi/>
            </w:pPr>
            <w:r/>
            <w:r>
              <w:rPr>
                <w:sz w:val="18"/>
              </w:rPr>
              <w:t>وزارة اقتصاد المعرفة والمؤسسات الناشئة</w:t>
            </w:r>
          </w:p>
        </w:tc>
        <w:tc>
          <w:tcPr>
            <w:tcW w:type="dxa" w:w="3628"/>
          </w:tcPr>
          <w:p>
            <w:pPr>
              <w:jc w:val="right"/>
              <w:bidi/>
            </w:pPr>
            <w:r/>
            <w:r>
              <w:rPr>
                <w:sz w:val="18"/>
              </w:rPr>
              <w:t>الوزير: نور الدين وعداح (منذ 18/11/2024، مؤكد في حكومة سبتمبر 2025). دكتوراه هندسة كهربائية/إعلام آلي من المدرسة الوطنية المتعددة التقنيات؛ أستاذ جامعي سابق؛ كان مدير المؤسسات الناشئة بالوزارة منذ 2020.</w:t>
            </w:r>
          </w:p>
        </w:tc>
        <w:tc>
          <w:tcPr>
            <w:tcW w:type="dxa" w:w="3685"/>
          </w:tcPr>
          <w:p>
            <w:pPr>
              <w:jc w:val="right"/>
              <w:bidi/>
            </w:pPr>
            <w:r/>
            <w:r>
              <w:rPr>
                <w:sz w:val="18"/>
              </w:rPr>
              <w:t>خلفية أكاديمية = يفهم لغة الجامعة. اللجنة الوطنية للعلامة (labellisation) تحت إشرافه. ANAE (الوكالة الوطنية للمقاول الذاتي) تابعة للوزارة.</w:t>
            </w:r>
          </w:p>
        </w:tc>
      </w:tr>
      <w:tr>
        <w:tc>
          <w:tcPr>
            <w:tcW w:type="dxa" w:w="2041"/>
          </w:tcPr>
          <w:p>
            <w:pPr>
              <w:jc w:val="right"/>
              <w:bidi/>
            </w:pPr>
            <w:r/>
            <w:r>
              <w:rPr>
                <w:sz w:val="18"/>
              </w:rPr>
              <w:t>وزارة الصناعة</w:t>
            </w:r>
          </w:p>
        </w:tc>
        <w:tc>
          <w:tcPr>
            <w:tcW w:type="dxa" w:w="3628"/>
          </w:tcPr>
          <w:p>
            <w:pPr>
              <w:jc w:val="right"/>
              <w:bidi/>
            </w:pPr>
            <w:r/>
            <w:r>
              <w:rPr>
                <w:sz w:val="18"/>
              </w:rPr>
              <w:t>الوزير: يحيى بشير (منذ سبتمبر 2025، خلفاً لسيفي غريب الذي أصبح وزيراً أول).</w:t>
            </w:r>
          </w:p>
        </w:tc>
        <w:tc>
          <w:tcPr>
            <w:tcW w:type="dxa" w:w="3685"/>
          </w:tcPr>
          <w:p>
            <w:pPr>
              <w:jc w:val="right"/>
              <w:bidi/>
            </w:pPr>
            <w:r/>
            <w:r>
              <w:rPr>
                <w:sz w:val="18"/>
              </w:rPr>
              <w:t>وصاية على GICA وSIDER/ALSOLB وشراكات Tosyalı وAQS.</w:t>
            </w:r>
          </w:p>
        </w:tc>
      </w:tr>
      <w:tr>
        <w:tc>
          <w:tcPr>
            <w:tcW w:type="dxa" w:w="2041"/>
          </w:tcPr>
          <w:p>
            <w:pPr>
              <w:jc w:val="right"/>
              <w:bidi/>
            </w:pPr>
            <w:r/>
            <w:r>
              <w:rPr>
                <w:sz w:val="18"/>
              </w:rPr>
              <w:t>وزارة التجارة الخارجية وترقية الصادرات</w:t>
            </w:r>
          </w:p>
        </w:tc>
        <w:tc>
          <w:tcPr>
            <w:tcW w:type="dxa" w:w="3628"/>
          </w:tcPr>
          <w:p>
            <w:pPr>
              <w:jc w:val="right"/>
              <w:bidi/>
            </w:pPr>
            <w:r/>
            <w:r>
              <w:rPr>
                <w:sz w:val="18"/>
              </w:rPr>
              <w:t>الوزير: كمال رزيق. ALGEX حُلّت وتُستبدل بوكالتين (ترقية صادرات / متابعة واردات).</w:t>
            </w:r>
          </w:p>
        </w:tc>
        <w:tc>
          <w:tcPr>
            <w:tcW w:type="dxa" w:w="3685"/>
          </w:tcPr>
          <w:p>
            <w:pPr>
              <w:jc w:val="right"/>
              <w:bidi/>
            </w:pPr>
            <w:r/>
            <w:r>
              <w:rPr>
                <w:sz w:val="18"/>
              </w:rPr>
              <w:t>الجهة التي تُحصي "الصادرات المهددة" — حليف طبيعي للملف.</w:t>
            </w:r>
          </w:p>
        </w:tc>
      </w:tr>
      <w:tr>
        <w:tc>
          <w:tcPr>
            <w:tcW w:type="dxa" w:w="2041"/>
          </w:tcPr>
          <w:p>
            <w:pPr>
              <w:jc w:val="right"/>
              <w:bidi/>
            </w:pPr>
            <w:r/>
            <w:r>
              <w:rPr>
                <w:sz w:val="18"/>
              </w:rPr>
              <w:t>وزارة البيئة وجودة الحياة</w:t>
            </w:r>
          </w:p>
        </w:tc>
        <w:tc>
          <w:tcPr>
            <w:tcW w:type="dxa" w:w="3628"/>
          </w:tcPr>
          <w:p>
            <w:pPr>
              <w:jc w:val="right"/>
              <w:bidi/>
            </w:pPr>
            <w:r/>
            <w:r>
              <w:rPr>
                <w:sz w:val="18"/>
              </w:rPr>
              <w:t>الوزيرة: نجيبة جيلالي.</w:t>
            </w:r>
          </w:p>
        </w:tc>
        <w:tc>
          <w:tcPr>
            <w:tcW w:type="dxa" w:w="3685"/>
          </w:tcPr>
          <w:p>
            <w:pPr>
              <w:jc w:val="right"/>
              <w:bidi/>
            </w:pPr>
            <w:r/>
            <w:r>
              <w:rPr>
                <w:sz w:val="18"/>
              </w:rPr>
              <w:t>نقطة اتصال UNFCCC؛ معامل انبعاث الشبكة الكهربائية الوطني (غير منشور — فجوة يمكنك سدّها بحثياً).</w:t>
            </w:r>
          </w:p>
        </w:tc>
      </w:tr>
      <w:tr>
        <w:tc>
          <w:tcPr>
            <w:tcW w:type="dxa" w:w="2041"/>
          </w:tcPr>
          <w:p>
            <w:pPr>
              <w:jc w:val="right"/>
              <w:bidi/>
            </w:pPr>
            <w:r/>
            <w:r>
              <w:rPr>
                <w:sz w:val="18"/>
              </w:rPr>
              <w:t>وزارة الطاقة</w:t>
            </w:r>
          </w:p>
        </w:tc>
        <w:tc>
          <w:tcPr>
            <w:tcW w:type="dxa" w:w="3628"/>
          </w:tcPr>
          <w:p>
            <w:pPr>
              <w:jc w:val="right"/>
              <w:bidi/>
            </w:pPr>
            <w:r/>
            <w:r>
              <w:rPr>
                <w:sz w:val="18"/>
              </w:rPr>
              <w:t>الوزير: مراد عجال. وصاية Sonatrach → Asmidal → Fertial، وحصص Sorfert وAOA.</w:t>
            </w:r>
          </w:p>
        </w:tc>
        <w:tc>
          <w:tcPr>
            <w:tcW w:type="dxa" w:w="3685"/>
          </w:tcPr>
          <w:p>
            <w:pPr>
              <w:jc w:val="right"/>
              <w:bidi/>
            </w:pPr>
            <w:r/>
            <w:r>
              <w:rPr>
                <w:sz w:val="18"/>
              </w:rPr>
              <w:t>أكبر مالك للمنشآت المعرضة.</w:t>
            </w:r>
          </w:p>
        </w:tc>
      </w:tr>
      <w:tr>
        <w:tc>
          <w:tcPr>
            <w:tcW w:type="dxa" w:w="2041"/>
          </w:tcPr>
          <w:p>
            <w:pPr>
              <w:jc w:val="right"/>
              <w:bidi/>
            </w:pPr>
            <w:r/>
            <w:r>
              <w:rPr>
                <w:sz w:val="18"/>
              </w:rPr>
              <w:t>CACI</w:t>
            </w:r>
          </w:p>
        </w:tc>
        <w:tc>
          <w:tcPr>
            <w:tcW w:type="dxa" w:w="3628"/>
          </w:tcPr>
          <w:p>
            <w:pPr>
              <w:jc w:val="right"/>
              <w:bidi/>
            </w:pPr>
            <w:r/>
            <w:r>
              <w:rPr>
                <w:sz w:val="18"/>
              </w:rPr>
              <w:t>الغرفة الجزائرية للتجارة والصناعة.</w:t>
            </w:r>
          </w:p>
        </w:tc>
        <w:tc>
          <w:tcPr>
            <w:tcW w:type="dxa" w:w="3685"/>
          </w:tcPr>
          <w:p>
            <w:pPr>
              <w:jc w:val="right"/>
              <w:bidi/>
            </w:pPr>
            <w:r/>
            <w:r>
              <w:rPr>
                <w:sz w:val="18"/>
              </w:rPr>
              <w:t>منصة الورشة الوطنية؛ دليل El Mouchir للمؤسسات.</w:t>
            </w:r>
          </w:p>
        </w:tc>
      </w:tr>
    </w:tbl>
    <w:p/>
    <w:p>
      <w:pPr>
        <w:pStyle w:val="Heading1"/>
        <w:jc w:val="right"/>
        <w:bidi/>
      </w:pPr>
      <w:r>
        <w:rPr>
          <w:color w:val="1F3A5F"/>
        </w:rPr>
        <w:t>3. المنافسون والشركاء البدلاء (خطة B)</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701"/>
            <w:shd w:val="clear" w:color="auto" w:fill="1F3A5F"/>
          </w:tcPr>
          <w:p>
            <w:pPr>
              <w:jc w:val="right"/>
              <w:bidi/>
            </w:pPr>
            <w:r/>
            <w:r>
              <w:rPr>
                <w:b/>
                <w:color w:val="FFFFFF"/>
                <w:sz w:val="18"/>
              </w:rPr>
              <w:t>الجهة</w:t>
            </w:r>
          </w:p>
        </w:tc>
        <w:tc>
          <w:tcPr>
            <w:tcW w:type="dxa" w:w="2835"/>
            <w:shd w:val="clear" w:color="auto" w:fill="1F3A5F"/>
          </w:tcPr>
          <w:p>
            <w:pPr>
              <w:jc w:val="right"/>
              <w:bidi/>
            </w:pPr>
            <w:r/>
            <w:r>
              <w:rPr>
                <w:b/>
                <w:color w:val="FFFFFF"/>
                <w:sz w:val="18"/>
              </w:rPr>
              <w:t>الوجود في الجزائر</w:t>
            </w:r>
          </w:p>
        </w:tc>
        <w:tc>
          <w:tcPr>
            <w:tcW w:type="dxa" w:w="2268"/>
            <w:shd w:val="clear" w:color="auto" w:fill="1F3A5F"/>
          </w:tcPr>
          <w:p>
            <w:pPr>
              <w:jc w:val="right"/>
              <w:bidi/>
            </w:pPr>
            <w:r/>
            <w:r>
              <w:rPr>
                <w:b/>
                <w:color w:val="FFFFFF"/>
                <w:sz w:val="18"/>
              </w:rPr>
              <w:t>الوضع في CBAM</w:t>
            </w:r>
          </w:p>
        </w:tc>
        <w:tc>
          <w:tcPr>
            <w:tcW w:type="dxa" w:w="2551"/>
            <w:shd w:val="clear" w:color="auto" w:fill="1F3A5F"/>
          </w:tcPr>
          <w:p>
            <w:pPr>
              <w:jc w:val="right"/>
              <w:bidi/>
            </w:pPr>
            <w:r/>
            <w:r>
              <w:rPr>
                <w:b/>
                <w:color w:val="FFFFFF"/>
                <w:sz w:val="18"/>
              </w:rPr>
              <w:t>التقييم لك</w:t>
            </w:r>
          </w:p>
        </w:tc>
      </w:tr>
      <w:tr>
        <w:tc>
          <w:tcPr>
            <w:tcW w:type="dxa" w:w="1701"/>
          </w:tcPr>
          <w:p>
            <w:pPr>
              <w:jc w:val="right"/>
              <w:bidi/>
            </w:pPr>
            <w:r/>
            <w:r>
              <w:rPr>
                <w:sz w:val="18"/>
              </w:rPr>
              <w:t>Bureau Veritas</w:t>
            </w:r>
          </w:p>
        </w:tc>
        <w:tc>
          <w:tcPr>
            <w:tcW w:type="dxa" w:w="2835"/>
          </w:tcPr>
          <w:p>
            <w:pPr>
              <w:jc w:val="right"/>
              <w:bidi/>
            </w:pPr>
            <w:r/>
            <w:r>
              <w:rPr>
                <w:sz w:val="18"/>
              </w:rPr>
              <w:t>BV Algérie SARL — 33 rue des Pins, Hydra (وأيضاً 21 bis rue Mohamed Semani). تصديق، تفتيش، بحري، حكومي. مسؤول تاريخي: Eric Parisot.</w:t>
            </w:r>
          </w:p>
        </w:tc>
        <w:tc>
          <w:tcPr>
            <w:tcW w:type="dxa" w:w="2268"/>
          </w:tcPr>
          <w:p>
            <w:pPr>
              <w:jc w:val="right"/>
              <w:bidi/>
            </w:pPr>
            <w:r/>
            <w:r>
              <w:rPr>
                <w:sz w:val="18"/>
              </w:rPr>
              <w:t>المجموعة طالبة اعتماد CBAM (معلن). لا نطاق GHG في المكتب الجزائري.</w:t>
            </w:r>
          </w:p>
        </w:tc>
        <w:tc>
          <w:tcPr>
            <w:tcW w:type="dxa" w:w="2551"/>
          </w:tcPr>
          <w:p>
            <w:pPr>
              <w:jc w:val="right"/>
              <w:bidi/>
            </w:pPr>
            <w:r/>
            <w:r>
              <w:rPr>
                <w:sz w:val="18"/>
              </w:rPr>
              <w:t>منافس أول في 2027–2028. خطة B ممكنة لكن سيضعك كمدقق موظف.</w:t>
            </w:r>
          </w:p>
        </w:tc>
      </w:tr>
      <w:tr>
        <w:tc>
          <w:tcPr>
            <w:tcW w:type="dxa" w:w="1701"/>
          </w:tcPr>
          <w:p>
            <w:pPr>
              <w:jc w:val="right"/>
              <w:bidi/>
            </w:pPr>
            <w:r/>
            <w:r>
              <w:rPr>
                <w:sz w:val="18"/>
              </w:rPr>
              <w:t>SGS</w:t>
            </w:r>
          </w:p>
        </w:tc>
        <w:tc>
          <w:tcPr>
            <w:tcW w:type="dxa" w:w="2835"/>
          </w:tcPr>
          <w:p>
            <w:pPr>
              <w:jc w:val="right"/>
              <w:bidi/>
            </w:pPr>
            <w:r/>
            <w:r>
              <w:rPr>
                <w:sz w:val="18"/>
              </w:rPr>
              <w:t>SGS Algérie — El Biar (Coop El Badr, Bd 11 Décembre 1960). يقدّم ISO 14064-1 في الجزائر. SGS المغرب يبيع "التحقق المسبق CBAM".</w:t>
            </w:r>
          </w:p>
        </w:tc>
        <w:tc>
          <w:tcPr>
            <w:tcW w:type="dxa" w:w="2268"/>
          </w:tcPr>
          <w:p>
            <w:pPr>
              <w:jc w:val="right"/>
              <w:bidi/>
            </w:pPr>
            <w:r/>
            <w:r>
              <w:rPr>
                <w:sz w:val="18"/>
              </w:rPr>
              <w:t>معتمد ETS في عدة دول؛ يعتزم طلب توسيع ISO 17029 إلى CBAM.</w:t>
            </w:r>
          </w:p>
        </w:tc>
        <w:tc>
          <w:tcPr>
            <w:tcW w:type="dxa" w:w="2551"/>
          </w:tcPr>
          <w:p>
            <w:pPr>
              <w:jc w:val="right"/>
              <w:bidi/>
            </w:pPr>
            <w:r/>
            <w:r>
              <w:rPr>
                <w:sz w:val="18"/>
              </w:rPr>
              <w:t>الأقرب تقنياً. مرشح خطة B الأقوى.</w:t>
            </w:r>
          </w:p>
        </w:tc>
      </w:tr>
      <w:tr>
        <w:tc>
          <w:tcPr>
            <w:tcW w:type="dxa" w:w="1701"/>
          </w:tcPr>
          <w:p>
            <w:pPr>
              <w:jc w:val="right"/>
              <w:bidi/>
            </w:pPr>
            <w:r/>
            <w:r>
              <w:rPr>
                <w:sz w:val="18"/>
              </w:rPr>
              <w:t>TÜV Rheinland / TÜV NORD</w:t>
            </w:r>
          </w:p>
        </w:tc>
        <w:tc>
          <w:tcPr>
            <w:tcW w:type="dxa" w:w="2835"/>
          </w:tcPr>
          <w:p>
            <w:pPr>
              <w:jc w:val="right"/>
              <w:bidi/>
            </w:pPr>
            <w:r/>
            <w:r>
              <w:rPr>
                <w:sz w:val="18"/>
              </w:rPr>
              <w:t>TÜV Group Algeria — 8 rue Abou Nouas, Hydra. TÜV NORD Bulgaria معتمد BAS (17021).</w:t>
            </w:r>
          </w:p>
        </w:tc>
        <w:tc>
          <w:tcPr>
            <w:tcW w:type="dxa" w:w="2268"/>
          </w:tcPr>
          <w:p>
            <w:pPr>
              <w:jc w:val="right"/>
              <w:bidi/>
            </w:pPr>
            <w:r/>
            <w:r>
              <w:rPr>
                <w:sz w:val="18"/>
              </w:rPr>
              <w:t>TÜV NORD طالب اعتماد CBAM.</w:t>
            </w:r>
          </w:p>
        </w:tc>
        <w:tc>
          <w:tcPr>
            <w:tcW w:type="dxa" w:w="2551"/>
          </w:tcPr>
          <w:p>
            <w:pPr>
              <w:jc w:val="right"/>
              <w:bidi/>
            </w:pPr>
            <w:r/>
            <w:r>
              <w:rPr>
                <w:sz w:val="18"/>
              </w:rPr>
              <w:t>ثانوي.</w:t>
            </w:r>
          </w:p>
        </w:tc>
      </w:tr>
      <w:tr>
        <w:tc>
          <w:tcPr>
            <w:tcW w:type="dxa" w:w="1701"/>
          </w:tcPr>
          <w:p>
            <w:pPr>
              <w:jc w:val="right"/>
              <w:bidi/>
            </w:pPr>
            <w:r/>
            <w:r>
              <w:rPr>
                <w:sz w:val="18"/>
              </w:rPr>
              <w:t>AFNOR / Afaq Algérie</w:t>
            </w:r>
          </w:p>
        </w:tc>
        <w:tc>
          <w:tcPr>
            <w:tcW w:type="dxa" w:w="2835"/>
          </w:tcPr>
          <w:p>
            <w:pPr>
              <w:jc w:val="right"/>
              <w:bidi/>
            </w:pPr>
            <w:r/>
            <w:r>
              <w:rPr>
                <w:sz w:val="18"/>
              </w:rPr>
              <w:t>19A Av. Ahmed El Biar Khodja, El Biar. تصديق أنظمة وتدريب.</w:t>
            </w:r>
          </w:p>
        </w:tc>
        <w:tc>
          <w:tcPr>
            <w:tcW w:type="dxa" w:w="2268"/>
          </w:tcPr>
          <w:p>
            <w:pPr>
              <w:jc w:val="right"/>
              <w:bidi/>
            </w:pPr>
            <w:r/>
            <w:r>
              <w:rPr>
                <w:sz w:val="18"/>
              </w:rPr>
              <w:t>ضعيف في GHG.</w:t>
            </w:r>
          </w:p>
        </w:tc>
        <w:tc>
          <w:tcPr>
            <w:tcW w:type="dxa" w:w="2551"/>
          </w:tcPr>
          <w:p>
            <w:pPr>
              <w:jc w:val="right"/>
              <w:bidi/>
            </w:pPr>
            <w:r/>
            <w:r>
              <w:rPr>
                <w:sz w:val="18"/>
              </w:rPr>
              <w:t>شريك تدريب محتمل لا تحقق.</w:t>
            </w:r>
          </w:p>
        </w:tc>
      </w:tr>
      <w:tr>
        <w:tc>
          <w:tcPr>
            <w:tcW w:type="dxa" w:w="1701"/>
          </w:tcPr>
          <w:p>
            <w:pPr>
              <w:jc w:val="right"/>
              <w:bidi/>
            </w:pPr>
            <w:r/>
            <w:r>
              <w:rPr>
                <w:sz w:val="18"/>
              </w:rPr>
              <w:t>Apave Algérie</w:t>
            </w:r>
          </w:p>
        </w:tc>
        <w:tc>
          <w:tcPr>
            <w:tcW w:type="dxa" w:w="2835"/>
          </w:tcPr>
          <w:p>
            <w:pPr>
              <w:jc w:val="right"/>
              <w:bidi/>
            </w:pPr>
            <w:r/>
            <w:r>
              <w:rPr>
                <w:sz w:val="18"/>
              </w:rPr>
              <w:t>فروع؛ Apave France يعرض خدمات MACF.</w:t>
            </w:r>
          </w:p>
        </w:tc>
        <w:tc>
          <w:tcPr>
            <w:tcW w:type="dxa" w:w="2268"/>
          </w:tcPr>
          <w:p>
            <w:pPr>
              <w:jc w:val="right"/>
              <w:bidi/>
            </w:pPr>
            <w:r/>
            <w:r>
              <w:rPr>
                <w:sz w:val="18"/>
              </w:rPr>
              <w:t>غير معتمد CBAM.</w:t>
            </w:r>
          </w:p>
        </w:tc>
        <w:tc>
          <w:tcPr>
            <w:tcW w:type="dxa" w:w="2551"/>
          </w:tcPr>
          <w:p>
            <w:pPr>
              <w:jc w:val="right"/>
              <w:bidi/>
            </w:pPr>
            <w:r/>
            <w:r>
              <w:rPr>
                <w:sz w:val="18"/>
              </w:rPr>
              <w:t>ثانوي.</w:t>
            </w:r>
          </w:p>
        </w:tc>
      </w:tr>
      <w:tr>
        <w:tc>
          <w:tcPr>
            <w:tcW w:type="dxa" w:w="1701"/>
          </w:tcPr>
          <w:p>
            <w:pPr>
              <w:jc w:val="right"/>
              <w:bidi/>
            </w:pPr>
            <w:r/>
            <w:r>
              <w:rPr>
                <w:sz w:val="18"/>
              </w:rPr>
              <w:t>DEKRA Norisko / RINA / DNV</w:t>
            </w:r>
          </w:p>
        </w:tc>
        <w:tc>
          <w:tcPr>
            <w:tcW w:type="dxa" w:w="2835"/>
          </w:tcPr>
          <w:p>
            <w:pPr>
              <w:jc w:val="right"/>
              <w:bidi/>
            </w:pPr>
            <w:r/>
            <w:r>
              <w:rPr>
                <w:sz w:val="18"/>
              </w:rPr>
              <w:t>مكاتب تمثيل (Hydra).</w:t>
            </w:r>
          </w:p>
        </w:tc>
        <w:tc>
          <w:tcPr>
            <w:tcW w:type="dxa" w:w="2268"/>
          </w:tcPr>
          <w:p>
            <w:pPr>
              <w:jc w:val="right"/>
              <w:bidi/>
            </w:pPr>
            <w:r/>
            <w:r>
              <w:rPr>
                <w:sz w:val="18"/>
              </w:rPr>
              <w:t>DNV لديها اعتمادات GHG عالمية.</w:t>
            </w:r>
          </w:p>
        </w:tc>
        <w:tc>
          <w:tcPr>
            <w:tcW w:type="dxa" w:w="2551"/>
          </w:tcPr>
          <w:p>
            <w:pPr>
              <w:jc w:val="right"/>
              <w:bidi/>
            </w:pPr>
            <w:r/>
            <w:r>
              <w:rPr>
                <w:sz w:val="18"/>
              </w:rPr>
              <w:t>هامشي في الجزائر.</w:t>
            </w:r>
          </w:p>
        </w:tc>
      </w:tr>
      <w:tr>
        <w:tc>
          <w:tcPr>
            <w:tcW w:type="dxa" w:w="1701"/>
          </w:tcPr>
          <w:p>
            <w:pPr>
              <w:jc w:val="right"/>
              <w:bidi/>
            </w:pPr>
            <w:r/>
            <w:r>
              <w:rPr>
                <w:sz w:val="18"/>
              </w:rPr>
              <w:t>GMI Verify (بلغاريا)</w:t>
            </w:r>
          </w:p>
        </w:tc>
        <w:tc>
          <w:tcPr>
            <w:tcW w:type="dxa" w:w="2835"/>
          </w:tcPr>
          <w:p>
            <w:pPr>
              <w:jc w:val="right"/>
              <w:bidi/>
            </w:pPr>
            <w:r/>
            <w:r>
              <w:rPr>
                <w:sz w:val="18"/>
              </w:rPr>
              <w:t>—</w:t>
            </w:r>
          </w:p>
        </w:tc>
        <w:tc>
          <w:tcPr>
            <w:tcW w:type="dxa" w:w="2268"/>
          </w:tcPr>
          <w:p>
            <w:pPr>
              <w:jc w:val="right"/>
              <w:bidi/>
            </w:pPr>
            <w:r/>
            <w:r>
              <w:rPr>
                <w:sz w:val="18"/>
              </w:rPr>
              <w:t>المحقق المتهم في قضية كوفاتشكي.</w:t>
            </w:r>
          </w:p>
        </w:tc>
        <w:tc>
          <w:tcPr>
            <w:tcW w:type="dxa" w:w="2551"/>
          </w:tcPr>
          <w:p>
            <w:pPr>
              <w:jc w:val="right"/>
              <w:bidi/>
            </w:pPr>
            <w:r/>
            <w:r>
              <w:rPr>
                <w:sz w:val="18"/>
              </w:rPr>
              <w:t>تجنّب تماماً.</w:t>
            </w:r>
          </w:p>
        </w:tc>
      </w:tr>
      <w:tr>
        <w:tc>
          <w:tcPr>
            <w:tcW w:type="dxa" w:w="1701"/>
          </w:tcPr>
          <w:p>
            <w:pPr>
              <w:jc w:val="right"/>
              <w:bidi/>
            </w:pPr>
            <w:r/>
            <w:r>
              <w:rPr>
                <w:sz w:val="18"/>
              </w:rPr>
              <w:t>محققون آخرون ببلغاريا</w:t>
            </w:r>
          </w:p>
        </w:tc>
        <w:tc>
          <w:tcPr>
            <w:tcW w:type="dxa" w:w="2835"/>
          </w:tcPr>
          <w:p>
            <w:pPr>
              <w:jc w:val="right"/>
              <w:bidi/>
            </w:pPr>
            <w:r/>
            <w:r>
              <w:rPr>
                <w:sz w:val="18"/>
              </w:rPr>
              <w:t>—</w:t>
            </w:r>
          </w:p>
        </w:tc>
        <w:tc>
          <w:tcPr>
            <w:tcW w:type="dxa" w:w="2268"/>
          </w:tcPr>
          <w:p>
            <w:pPr>
              <w:jc w:val="right"/>
              <w:bidi/>
            </w:pPr>
            <w:r/>
            <w:r>
              <w:rPr>
                <w:sz w:val="18"/>
              </w:rPr>
              <w:t>7 محققين ETS معتمدين لدى BAS.</w:t>
            </w:r>
          </w:p>
        </w:tc>
        <w:tc>
          <w:tcPr>
            <w:tcW w:type="dxa" w:w="2551"/>
          </w:tcPr>
          <w:p>
            <w:pPr>
              <w:jc w:val="right"/>
              <w:bidi/>
            </w:pPr>
            <w:r/>
            <w:r>
              <w:rPr>
                <w:sz w:val="18"/>
              </w:rPr>
              <w:t>بديل محتمل إن فشلت G&amp;F: اطلب من BAS القائمة الكاملة.</w:t>
            </w:r>
          </w:p>
        </w:tc>
      </w:tr>
      <w:tr>
        <w:tc>
          <w:tcPr>
            <w:tcW w:type="dxa" w:w="1701"/>
          </w:tcPr>
          <w:p>
            <w:pPr>
              <w:jc w:val="right"/>
              <w:bidi/>
            </w:pPr>
            <w:r/>
            <w:r>
              <w:rPr>
                <w:sz w:val="18"/>
              </w:rPr>
              <w:t>شركات ISO جزائرية مستقلة</w:t>
            </w:r>
          </w:p>
        </w:tc>
        <w:tc>
          <w:tcPr>
            <w:tcW w:type="dxa" w:w="2835"/>
          </w:tcPr>
          <w:p>
            <w:pPr>
              <w:jc w:val="right"/>
              <w:bidi/>
            </w:pPr>
            <w:r/>
            <w:r>
              <w:rPr>
                <w:sz w:val="18"/>
              </w:rPr>
              <w:t>Qualitest Algérie SPA، NORMISO، ENACT SPA، مكاتب استشارات ISO 14001/50001 في عنابة/وهران.</w:t>
            </w:r>
          </w:p>
        </w:tc>
        <w:tc>
          <w:tcPr>
            <w:tcW w:type="dxa" w:w="2268"/>
          </w:tcPr>
          <w:p>
            <w:pPr>
              <w:jc w:val="right"/>
              <w:bidi/>
            </w:pPr>
            <w:r/>
            <w:r>
              <w:rPr>
                <w:sz w:val="18"/>
              </w:rPr>
              <w:t>لا GHG.</w:t>
            </w:r>
          </w:p>
        </w:tc>
        <w:tc>
          <w:tcPr>
            <w:tcW w:type="dxa" w:w="2551"/>
          </w:tcPr>
          <w:p>
            <w:pPr>
              <w:jc w:val="right"/>
              <w:bidi/>
            </w:pPr>
            <w:r/>
            <w:r>
              <w:rPr>
                <w:sz w:val="18"/>
              </w:rPr>
              <w:t>"الشركة ذات خبرة ISO" التي طلبها أنطون — شريك المستوى 2.</w:t>
            </w:r>
          </w:p>
        </w:tc>
      </w:tr>
      <w:tr>
        <w:tc>
          <w:tcPr>
            <w:tcW w:type="dxa" w:w="1701"/>
          </w:tcPr>
          <w:p>
            <w:pPr>
              <w:jc w:val="right"/>
              <w:bidi/>
            </w:pPr>
            <w:r/>
            <w:r>
              <w:rPr>
                <w:sz w:val="18"/>
              </w:rPr>
              <w:t>منصات رقمية</w:t>
            </w:r>
          </w:p>
        </w:tc>
        <w:tc>
          <w:tcPr>
            <w:tcW w:type="dxa" w:w="2835"/>
          </w:tcPr>
          <w:p>
            <w:pPr>
              <w:jc w:val="right"/>
              <w:bidi/>
            </w:pPr>
            <w:r/>
            <w:r>
              <w:rPr>
                <w:sz w:val="18"/>
              </w:rPr>
              <w:t>virCBAM (Viresg) تستهدف المغرب/تونس/الجزائر مع "محققين معتمدين بحضور محلي (SGS، BV)".</w:t>
            </w:r>
          </w:p>
        </w:tc>
        <w:tc>
          <w:tcPr>
            <w:tcW w:type="dxa" w:w="2268"/>
          </w:tcPr>
          <w:p>
            <w:pPr>
              <w:jc w:val="right"/>
              <w:bidi/>
            </w:pPr>
            <w:r/>
            <w:r>
              <w:rPr>
                <w:sz w:val="18"/>
              </w:rPr>
              <w:t>—</w:t>
            </w:r>
          </w:p>
        </w:tc>
        <w:tc>
          <w:tcPr>
            <w:tcW w:type="dxa" w:w="2551"/>
          </w:tcPr>
          <w:p>
            <w:pPr>
              <w:jc w:val="right"/>
              <w:bidi/>
            </w:pPr>
            <w:r/>
            <w:r>
              <w:rPr>
                <w:sz w:val="18"/>
              </w:rPr>
              <w:t>منافس على طبقة البيانات؛ أو شريك تقني للـ startup.</w:t>
            </w:r>
          </w:p>
        </w:tc>
      </w:tr>
    </w:tbl>
    <w:p/>
    <w:p>
      <w:pPr>
        <w:pStyle w:val="Heading1"/>
        <w:jc w:val="right"/>
        <w:bidi/>
      </w:pPr>
      <w:r>
        <w:rPr>
          <w:color w:val="1F3A5F"/>
        </w:rPr>
        <w:t>4. المنشآت الجزائرية المستهدفة — الملكية والقيادة</w:t>
      </w:r>
    </w:p>
    <w:tbl>
      <w:tblPr>
        <w:tblStyle w:val="TableGrid"/>
        <w:tblW w:type="auto" w:w="0"/>
        <w:tblLook w:firstColumn="1" w:firstRow="1" w:lastColumn="0" w:lastRow="0" w:noHBand="0" w:noVBand="1" w:val="04A0"/>
        <w:bidiVisual/>
      </w:tblPr>
      <w:tblGrid>
        <w:gridCol w:w="1994"/>
        <w:gridCol w:w="1994"/>
        <w:gridCol w:w="1994"/>
        <w:gridCol w:w="1994"/>
        <w:gridCol w:w="1994"/>
      </w:tblGrid>
      <w:tr>
        <w:tc>
          <w:tcPr>
            <w:tcW w:type="dxa" w:w="1474"/>
            <w:shd w:val="clear" w:color="auto" w:fill="1F3A5F"/>
          </w:tcPr>
          <w:p>
            <w:pPr>
              <w:jc w:val="right"/>
              <w:bidi/>
            </w:pPr>
            <w:r/>
            <w:r>
              <w:rPr>
                <w:b/>
                <w:color w:val="FFFFFF"/>
                <w:sz w:val="18"/>
              </w:rPr>
              <w:t>المنشأة</w:t>
            </w:r>
          </w:p>
        </w:tc>
        <w:tc>
          <w:tcPr>
            <w:tcW w:type="dxa" w:w="1247"/>
            <w:shd w:val="clear" w:color="auto" w:fill="1F3A5F"/>
          </w:tcPr>
          <w:p>
            <w:pPr>
              <w:jc w:val="right"/>
              <w:bidi/>
            </w:pPr>
            <w:r/>
            <w:r>
              <w:rPr>
                <w:b/>
                <w:color w:val="FFFFFF"/>
                <w:sz w:val="18"/>
              </w:rPr>
              <w:t>الموقع</w:t>
            </w:r>
          </w:p>
        </w:tc>
        <w:tc>
          <w:tcPr>
            <w:tcW w:type="dxa" w:w="1928"/>
            <w:shd w:val="clear" w:color="auto" w:fill="1F3A5F"/>
          </w:tcPr>
          <w:p>
            <w:pPr>
              <w:jc w:val="right"/>
              <w:bidi/>
            </w:pPr>
            <w:r/>
            <w:r>
              <w:rPr>
                <w:b/>
                <w:color w:val="FFFFFF"/>
                <w:sz w:val="18"/>
              </w:rPr>
              <w:t>الملكية (2026)</w:t>
            </w:r>
          </w:p>
        </w:tc>
        <w:tc>
          <w:tcPr>
            <w:tcW w:type="dxa" w:w="2154"/>
            <w:shd w:val="clear" w:color="auto" w:fill="1F3A5F"/>
          </w:tcPr>
          <w:p>
            <w:pPr>
              <w:jc w:val="right"/>
              <w:bidi/>
            </w:pPr>
            <w:r/>
            <w:r>
              <w:rPr>
                <w:b/>
                <w:color w:val="FFFFFF"/>
                <w:sz w:val="18"/>
              </w:rPr>
              <w:t>القيادة المعروفة</w:t>
            </w:r>
          </w:p>
        </w:tc>
        <w:tc>
          <w:tcPr>
            <w:tcW w:type="dxa" w:w="2551"/>
            <w:shd w:val="clear" w:color="auto" w:fill="1F3A5F"/>
          </w:tcPr>
          <w:p>
            <w:pPr>
              <w:jc w:val="right"/>
              <w:bidi/>
            </w:pPr>
            <w:r/>
            <w:r>
              <w:rPr>
                <w:b/>
                <w:color w:val="FFFFFF"/>
                <w:sz w:val="18"/>
              </w:rPr>
              <w:t>ملاحظة استخباراتية</w:t>
            </w:r>
          </w:p>
        </w:tc>
      </w:tr>
      <w:tr>
        <w:tc>
          <w:tcPr>
            <w:tcW w:type="dxa" w:w="1474"/>
          </w:tcPr>
          <w:p>
            <w:pPr>
              <w:jc w:val="right"/>
              <w:bidi/>
            </w:pPr>
            <w:r/>
            <w:r>
              <w:rPr>
                <w:sz w:val="18"/>
              </w:rPr>
              <w:t>Fertial SPA</w:t>
            </w:r>
          </w:p>
        </w:tc>
        <w:tc>
          <w:tcPr>
            <w:tcW w:type="dxa" w:w="1247"/>
          </w:tcPr>
          <w:p>
            <w:pPr>
              <w:jc w:val="right"/>
              <w:bidi/>
            </w:pPr>
            <w:r/>
            <w:r>
              <w:rPr>
                <w:sz w:val="18"/>
              </w:rPr>
              <w:t>عنابة (Route des Salines) + أرزيو</w:t>
            </w:r>
          </w:p>
        </w:tc>
        <w:tc>
          <w:tcPr>
            <w:tcW w:type="dxa" w:w="1928"/>
          </w:tcPr>
          <w:p>
            <w:pPr>
              <w:jc w:val="right"/>
              <w:bidi/>
            </w:pPr>
            <w:r/>
            <w:r>
              <w:rPr>
                <w:sz w:val="18"/>
              </w:rPr>
              <w:t>Sonatrach 100% عبر Asmidal منذ يونيو 2024 (خروج Grupo Villar Mir/Fertiberia بعد نزاع). قبلها: GVM 49%، Asmidal 34%، ETRHB Haddad 17%.</w:t>
            </w:r>
          </w:p>
        </w:tc>
        <w:tc>
          <w:tcPr>
            <w:tcW w:type="dxa" w:w="2154"/>
          </w:tcPr>
          <w:p>
            <w:pPr>
              <w:jc w:val="right"/>
              <w:bidi/>
            </w:pPr>
            <w:r/>
            <w:r>
              <w:rPr>
                <w:sz w:val="18"/>
              </w:rPr>
              <w:t>المدير العام: رياض سايد (منذ أكتوبر 2024، إطار Sonatrach من مصفاة سكيكدة؛ خلف يوسف بوزيد وقبله Stéphane Dieudé). PDG Asmidal: بطوش بوطوبة (نائب رئيس سابق بـ Sonatrach).</w:t>
            </w:r>
          </w:p>
        </w:tc>
        <w:tc>
          <w:tcPr>
            <w:tcW w:type="dxa" w:w="2551"/>
          </w:tcPr>
          <w:p>
            <w:pPr>
              <w:jc w:val="right"/>
              <w:bidi/>
            </w:pPr>
            <w:r/>
            <w:r>
              <w:rPr>
                <w:sz w:val="18"/>
              </w:rPr>
              <w:t>مصنع عنابة يعاني توقفات متكررة؛ إدارة جديدة تحت ضغط أداء — تبحث عن مكاسب سريعة. مخبرها الزراعي معتمد ALGERAC (جهة اتصال: slaouar@fertial-dz.com). الأقرب إليك جغرافياً.</w:t>
            </w:r>
          </w:p>
        </w:tc>
      </w:tr>
      <w:tr>
        <w:tc>
          <w:tcPr>
            <w:tcW w:type="dxa" w:w="1474"/>
          </w:tcPr>
          <w:p>
            <w:pPr>
              <w:jc w:val="right"/>
              <w:bidi/>
            </w:pPr>
            <w:r/>
            <w:r>
              <w:rPr>
                <w:sz w:val="18"/>
              </w:rPr>
              <w:t>Sorfert Algérie</w:t>
            </w:r>
          </w:p>
        </w:tc>
        <w:tc>
          <w:tcPr>
            <w:tcW w:type="dxa" w:w="1247"/>
          </w:tcPr>
          <w:p>
            <w:pPr>
              <w:jc w:val="right"/>
              <w:bidi/>
            </w:pPr>
            <w:r/>
            <w:r>
              <w:rPr>
                <w:sz w:val="18"/>
              </w:rPr>
              <w:t>أرزيو (وهران)</w:t>
            </w:r>
          </w:p>
        </w:tc>
        <w:tc>
          <w:tcPr>
            <w:tcW w:type="dxa" w:w="1928"/>
          </w:tcPr>
          <w:p>
            <w:pPr>
              <w:jc w:val="right"/>
              <w:bidi/>
            </w:pPr>
            <w:r/>
            <w:r>
              <w:rPr>
                <w:sz w:val="18"/>
              </w:rPr>
              <w:t>Fertiglobe/OCI 51% – Sonatrach 49%. (Fertiglobe مملوكة الآن لـ ADNOC.)</w:t>
            </w:r>
          </w:p>
        </w:tc>
        <w:tc>
          <w:tcPr>
            <w:tcW w:type="dxa" w:w="2154"/>
          </w:tcPr>
          <w:p>
            <w:pPr>
              <w:jc w:val="right"/>
              <w:bidi/>
            </w:pPr>
            <w:r/>
            <w:r>
              <w:rPr>
                <w:sz w:val="18"/>
              </w:rPr>
              <w:t>PDG: م. ماجد الطوبجي (Maged Eltobgy).</w:t>
            </w:r>
          </w:p>
        </w:tc>
        <w:tc>
          <w:tcPr>
            <w:tcW w:type="dxa" w:w="2551"/>
          </w:tcPr>
          <w:p>
            <w:pPr>
              <w:jc w:val="right"/>
              <w:bidi/>
            </w:pPr>
            <w:r/>
            <w:r>
              <w:rPr>
                <w:sz w:val="18"/>
              </w:rPr>
              <w:t>Fertiglobe مجموعة خليجية-مصرية محترفة، تعرف CBAM جيداً من مصر والإمارات — ستسأل أسئلة تقنية دقيقة. قد تكون قد تعاقدت مع محقق عالمي أصلاً.</w:t>
            </w:r>
          </w:p>
        </w:tc>
      </w:tr>
      <w:tr>
        <w:tc>
          <w:tcPr>
            <w:tcW w:type="dxa" w:w="1474"/>
          </w:tcPr>
          <w:p>
            <w:pPr>
              <w:jc w:val="right"/>
              <w:bidi/>
            </w:pPr>
            <w:r/>
            <w:r>
              <w:rPr>
                <w:sz w:val="18"/>
              </w:rPr>
              <w:t>AOA (الشركة الجزائرية العُمانية للأسمدة)</w:t>
            </w:r>
          </w:p>
        </w:tc>
        <w:tc>
          <w:tcPr>
            <w:tcW w:type="dxa" w:w="1247"/>
          </w:tcPr>
          <w:p>
            <w:pPr>
              <w:jc w:val="right"/>
              <w:bidi/>
            </w:pPr>
            <w:r/>
            <w:r>
              <w:rPr>
                <w:sz w:val="18"/>
              </w:rPr>
              <w:t>أرزيو</w:t>
            </w:r>
          </w:p>
        </w:tc>
        <w:tc>
          <w:tcPr>
            <w:tcW w:type="dxa" w:w="1928"/>
          </w:tcPr>
          <w:p>
            <w:pPr>
              <w:jc w:val="right"/>
              <w:bidi/>
            </w:pPr>
            <w:r/>
            <w:r>
              <w:rPr>
                <w:sz w:val="18"/>
              </w:rPr>
              <w:t>Suhail Bahwan Group 51% – Sonatrach 49%.</w:t>
            </w:r>
          </w:p>
        </w:tc>
        <w:tc>
          <w:tcPr>
            <w:tcW w:type="dxa" w:w="2154"/>
          </w:tcPr>
          <w:p>
            <w:pPr>
              <w:jc w:val="right"/>
              <w:bidi/>
            </w:pPr>
            <w:r/>
            <w:r>
              <w:rPr>
                <w:sz w:val="18"/>
              </w:rPr>
              <w:t>—</w:t>
            </w:r>
          </w:p>
        </w:tc>
        <w:tc>
          <w:tcPr>
            <w:tcW w:type="dxa" w:w="2551"/>
          </w:tcPr>
          <w:p>
            <w:pPr>
              <w:jc w:val="right"/>
              <w:bidi/>
            </w:pPr>
            <w:r/>
            <w:r>
              <w:rPr>
                <w:sz w:val="18"/>
              </w:rPr>
              <w:t>أكبر مصدّر يوريا؛ اتفاق توسعة (قطار ثالث) أغسطس 2026. الإدارة العُمانية-الهندية تقنياً.</w:t>
            </w:r>
          </w:p>
        </w:tc>
      </w:tr>
      <w:tr>
        <w:tc>
          <w:tcPr>
            <w:tcW w:type="dxa" w:w="1474"/>
          </w:tcPr>
          <w:p>
            <w:pPr>
              <w:jc w:val="right"/>
              <w:bidi/>
            </w:pPr>
            <w:r/>
            <w:r>
              <w:rPr>
                <w:sz w:val="18"/>
              </w:rPr>
              <w:t>Tosyalı Algérie</w:t>
            </w:r>
          </w:p>
        </w:tc>
        <w:tc>
          <w:tcPr>
            <w:tcW w:type="dxa" w:w="1247"/>
          </w:tcPr>
          <w:p>
            <w:pPr>
              <w:jc w:val="right"/>
              <w:bidi/>
            </w:pPr>
            <w:r/>
            <w:r>
              <w:rPr>
                <w:sz w:val="18"/>
              </w:rPr>
              <w:t>بطيوة (وهران)</w:t>
            </w:r>
          </w:p>
        </w:tc>
        <w:tc>
          <w:tcPr>
            <w:tcW w:type="dxa" w:w="1928"/>
          </w:tcPr>
          <w:p>
            <w:pPr>
              <w:jc w:val="right"/>
              <w:bidi/>
            </w:pPr>
            <w:r/>
            <w:r>
              <w:rPr>
                <w:sz w:val="18"/>
              </w:rPr>
              <w:t>Tosyalı Holding (تركيا) — عائلة Fuat Tosyalı.</w:t>
            </w:r>
          </w:p>
        </w:tc>
        <w:tc>
          <w:tcPr>
            <w:tcW w:type="dxa" w:w="2154"/>
          </w:tcPr>
          <w:p>
            <w:pPr>
              <w:jc w:val="right"/>
              <w:bidi/>
            </w:pPr>
            <w:r/>
            <w:r>
              <w:rPr>
                <w:sz w:val="18"/>
              </w:rPr>
              <w:t>Alp Topcuoglu: نائب الرئيس / عضو تنفيذي بمجلس الإدارة، الواجهة الإعلامية. مدير التجارة الخارجية: Ramzi Azzi.</w:t>
            </w:r>
          </w:p>
        </w:tc>
        <w:tc>
          <w:tcPr>
            <w:tcW w:type="dxa" w:w="2551"/>
          </w:tcPr>
          <w:p>
            <w:pPr>
              <w:jc w:val="right"/>
              <w:bidi/>
            </w:pPr>
            <w:r/>
            <w:r>
              <w:rPr>
                <w:sz w:val="18"/>
              </w:rPr>
              <w:t>تركيا لديها محققون معتمدون وخبرة CBAM — الشركة الأم ستتولى الملف من إسطنبول على الأرجح. صعب الاختراق من الأسفل؛ يُقارَب عبر وزارة الصناعة. صدّر في يناير 2026 إلى بولندا ولاتفيا وإيطاليا وتونس.</w:t>
            </w:r>
          </w:p>
        </w:tc>
      </w:tr>
      <w:tr>
        <w:tc>
          <w:tcPr>
            <w:tcW w:type="dxa" w:w="1474"/>
          </w:tcPr>
          <w:p>
            <w:pPr>
              <w:jc w:val="right"/>
              <w:bidi/>
            </w:pPr>
            <w:r/>
            <w:r>
              <w:rPr>
                <w:sz w:val="18"/>
              </w:rPr>
              <w:t>AQS (Algerian Qatari Steel)</w:t>
            </w:r>
          </w:p>
        </w:tc>
        <w:tc>
          <w:tcPr>
            <w:tcW w:type="dxa" w:w="1247"/>
          </w:tcPr>
          <w:p>
            <w:pPr>
              <w:jc w:val="right"/>
              <w:bidi/>
            </w:pPr>
            <w:r/>
            <w:r>
              <w:rPr>
                <w:sz w:val="18"/>
              </w:rPr>
              <w:t>بلارة (جيجل)</w:t>
            </w:r>
          </w:p>
        </w:tc>
        <w:tc>
          <w:tcPr>
            <w:tcW w:type="dxa" w:w="1928"/>
          </w:tcPr>
          <w:p>
            <w:pPr>
              <w:jc w:val="right"/>
              <w:bidi/>
            </w:pPr>
            <w:r/>
            <w:r>
              <w:rPr>
                <w:sz w:val="18"/>
              </w:rPr>
              <w:t>Qatar Steel International 49% – SIDER 46% – FNI 5%.</w:t>
            </w:r>
          </w:p>
        </w:tc>
        <w:tc>
          <w:tcPr>
            <w:tcW w:type="dxa" w:w="2154"/>
          </w:tcPr>
          <w:p>
            <w:pPr>
              <w:jc w:val="right"/>
              <w:bidi/>
            </w:pPr>
            <w:r/>
            <w:r>
              <w:rPr>
                <w:sz w:val="18"/>
              </w:rPr>
              <w:t>—</w:t>
            </w:r>
          </w:p>
        </w:tc>
        <w:tc>
          <w:tcPr>
            <w:tcW w:type="dxa" w:w="2551"/>
          </w:tcPr>
          <w:p>
            <w:pPr>
              <w:jc w:val="right"/>
              <w:bidi/>
            </w:pPr>
            <w:r/>
            <w:r>
              <w:rPr>
                <w:sz w:val="18"/>
              </w:rPr>
              <w:t>اتفاق تصدير مع Posco International. الجانب القطري يملك خبرة تقنية.</w:t>
            </w:r>
          </w:p>
        </w:tc>
      </w:tr>
      <w:tr>
        <w:tc>
          <w:tcPr>
            <w:tcW w:type="dxa" w:w="1474"/>
          </w:tcPr>
          <w:p>
            <w:pPr>
              <w:jc w:val="right"/>
              <w:bidi/>
            </w:pPr>
            <w:r/>
            <w:r>
              <w:rPr>
                <w:sz w:val="18"/>
              </w:rPr>
              <w:t>ALSOLB (ex-Sider El Hadjar)</w:t>
            </w:r>
          </w:p>
        </w:tc>
        <w:tc>
          <w:tcPr>
            <w:tcW w:type="dxa" w:w="1247"/>
          </w:tcPr>
          <w:p>
            <w:pPr>
              <w:jc w:val="right"/>
              <w:bidi/>
            </w:pPr>
            <w:r/>
            <w:r>
              <w:rPr>
                <w:sz w:val="18"/>
              </w:rPr>
              <w:t>الحجار (عنابة)</w:t>
            </w:r>
          </w:p>
        </w:tc>
        <w:tc>
          <w:tcPr>
            <w:tcW w:type="dxa" w:w="1928"/>
          </w:tcPr>
          <w:p>
            <w:pPr>
              <w:jc w:val="right"/>
              <w:bidi/>
            </w:pPr>
            <w:r/>
            <w:r>
              <w:rPr>
                <w:sz w:val="18"/>
              </w:rPr>
              <w:t>الدولة 100% (مجمع SIDER).</w:t>
            </w:r>
          </w:p>
        </w:tc>
        <w:tc>
          <w:tcPr>
            <w:tcW w:type="dxa" w:w="2154"/>
          </w:tcPr>
          <w:p>
            <w:pPr>
              <w:jc w:val="right"/>
              <w:bidi/>
            </w:pPr>
            <w:r/>
            <w:r>
              <w:rPr>
                <w:sz w:val="18"/>
              </w:rPr>
              <w:t>—</w:t>
            </w:r>
          </w:p>
        </w:tc>
        <w:tc>
          <w:tcPr>
            <w:tcW w:type="dxa" w:w="2551"/>
          </w:tcPr>
          <w:p>
            <w:pPr>
              <w:jc w:val="right"/>
              <w:bidi/>
            </w:pPr>
            <w:r/>
            <w:r>
              <w:rPr>
                <w:sz w:val="18"/>
              </w:rPr>
              <w:t>فرن عالٍ قديم = أعلى انبعاث. المستفيد الأقل من التحقق مالياً لكن الأكثر حاجة سياسياً. على بُعد ساعة منك.</w:t>
            </w:r>
          </w:p>
        </w:tc>
      </w:tr>
      <w:tr>
        <w:tc>
          <w:tcPr>
            <w:tcW w:type="dxa" w:w="1474"/>
          </w:tcPr>
          <w:p>
            <w:pPr>
              <w:jc w:val="right"/>
              <w:bidi/>
            </w:pPr>
            <w:r/>
            <w:r>
              <w:rPr>
                <w:sz w:val="18"/>
              </w:rPr>
              <w:t>ECDE — مصنع إسمنت الشلف</w:t>
            </w:r>
          </w:p>
        </w:tc>
        <w:tc>
          <w:tcPr>
            <w:tcW w:type="dxa" w:w="1247"/>
          </w:tcPr>
          <w:p>
            <w:pPr>
              <w:jc w:val="right"/>
              <w:bidi/>
            </w:pPr>
            <w:r/>
            <w:r>
              <w:rPr>
                <w:sz w:val="18"/>
              </w:rPr>
              <w:t>واد سلي (الشلف)</w:t>
            </w:r>
          </w:p>
        </w:tc>
        <w:tc>
          <w:tcPr>
            <w:tcW w:type="dxa" w:w="1928"/>
          </w:tcPr>
          <w:p>
            <w:pPr>
              <w:jc w:val="right"/>
              <w:bidi/>
            </w:pPr>
            <w:r/>
            <w:r>
              <w:rPr>
                <w:sz w:val="18"/>
              </w:rPr>
              <w:t>GICA (دولة 100%).</w:t>
            </w:r>
          </w:p>
        </w:tc>
        <w:tc>
          <w:tcPr>
            <w:tcW w:type="dxa" w:w="2154"/>
          </w:tcPr>
          <w:p>
            <w:pPr>
              <w:jc w:val="right"/>
              <w:bidi/>
            </w:pPr>
            <w:r/>
            <w:r>
              <w:rPr>
                <w:sz w:val="18"/>
              </w:rPr>
              <w:t>المدير العام: قادة دينار (Kada Dinar).</w:t>
            </w:r>
          </w:p>
        </w:tc>
        <w:tc>
          <w:tcPr>
            <w:tcW w:type="dxa" w:w="2551"/>
          </w:tcPr>
          <w:p>
            <w:pPr>
              <w:jc w:val="right"/>
              <w:bidi/>
            </w:pPr>
            <w:r/>
            <w:r>
              <w:rPr>
                <w:sz w:val="18"/>
              </w:rPr>
              <w:t>~2 Mt كلنكر لأوروبا في 2025؛ يصدّر من تنس ووهران. أنشط مصدّر إسمنتي؛ مسؤوله يتحدث للإعلام بانتظام — يسهل الوصول إليه.</w:t>
            </w:r>
          </w:p>
        </w:tc>
      </w:tr>
      <w:tr>
        <w:tc>
          <w:tcPr>
            <w:tcW w:type="dxa" w:w="1474"/>
          </w:tcPr>
          <w:p>
            <w:pPr>
              <w:jc w:val="right"/>
              <w:bidi/>
            </w:pPr>
            <w:r/>
            <w:r>
              <w:rPr>
                <w:sz w:val="18"/>
              </w:rPr>
              <w:t>GICA (المجمع)</w:t>
            </w:r>
          </w:p>
        </w:tc>
        <w:tc>
          <w:tcPr>
            <w:tcW w:type="dxa" w:w="1247"/>
          </w:tcPr>
          <w:p>
            <w:pPr>
              <w:jc w:val="right"/>
              <w:bidi/>
            </w:pPr>
            <w:r/>
            <w:r>
              <w:rPr>
                <w:sz w:val="18"/>
              </w:rPr>
              <w:t>المقر: Route de Dar El Beida, Meftah (البليدة). 12,000 موظف.</w:t>
            </w:r>
          </w:p>
        </w:tc>
        <w:tc>
          <w:tcPr>
            <w:tcW w:type="dxa" w:w="1928"/>
          </w:tcPr>
          <w:p>
            <w:pPr>
              <w:jc w:val="right"/>
              <w:bidi/>
            </w:pPr>
            <w:r/>
            <w:r>
              <w:rPr>
                <w:sz w:val="18"/>
              </w:rPr>
              <w:t>الدولة 100%.</w:t>
            </w:r>
          </w:p>
        </w:tc>
        <w:tc>
          <w:tcPr>
            <w:tcW w:type="dxa" w:w="2154"/>
          </w:tcPr>
          <w:p>
            <w:pPr>
              <w:jc w:val="right"/>
              <w:bidi/>
            </w:pPr>
            <w:r/>
            <w:r>
              <w:rPr>
                <w:sz w:val="18"/>
              </w:rPr>
              <w:t>PDG: ربّاح قسوم (Rabah Guessoum).</w:t>
            </w:r>
          </w:p>
        </w:tc>
        <w:tc>
          <w:tcPr>
            <w:tcW w:type="dxa" w:w="2551"/>
          </w:tcPr>
          <w:p>
            <w:pPr>
              <w:jc w:val="right"/>
              <w:bidi/>
            </w:pPr>
            <w:r/>
            <w:r>
              <w:rPr>
                <w:sz w:val="18"/>
              </w:rPr>
              <w:t>وصاية وزارة الصناعة. 12+ مصنعاً؛ قرار التحقق مركزي على الأرجح.</w:t>
            </w:r>
          </w:p>
        </w:tc>
      </w:tr>
      <w:tr>
        <w:tc>
          <w:tcPr>
            <w:tcW w:type="dxa" w:w="1474"/>
          </w:tcPr>
          <w:p>
            <w:pPr>
              <w:jc w:val="right"/>
              <w:bidi/>
            </w:pPr>
            <w:r/>
            <w:r>
              <w:rPr>
                <w:sz w:val="18"/>
              </w:rPr>
              <w:t>Cilas (Biskra)</w:t>
            </w:r>
          </w:p>
        </w:tc>
        <w:tc>
          <w:tcPr>
            <w:tcW w:type="dxa" w:w="1247"/>
          </w:tcPr>
          <w:p>
            <w:pPr>
              <w:jc w:val="right"/>
              <w:bidi/>
            </w:pPr>
            <w:r/>
            <w:r>
              <w:rPr>
                <w:sz w:val="18"/>
              </w:rPr>
              <w:t>بسكرة</w:t>
            </w:r>
          </w:p>
        </w:tc>
        <w:tc>
          <w:tcPr>
            <w:tcW w:type="dxa" w:w="1928"/>
          </w:tcPr>
          <w:p>
            <w:pPr>
              <w:jc w:val="right"/>
              <w:bidi/>
            </w:pPr>
            <w:r/>
            <w:r>
              <w:rPr>
                <w:sz w:val="18"/>
              </w:rPr>
              <w:t>Souakri 51% – LafargeHolcim Algérie 49%.</w:t>
            </w:r>
          </w:p>
        </w:tc>
        <w:tc>
          <w:tcPr>
            <w:tcW w:type="dxa" w:w="2154"/>
          </w:tcPr>
          <w:p>
            <w:pPr>
              <w:jc w:val="right"/>
              <w:bidi/>
            </w:pPr>
            <w:r/>
            <w:r>
              <w:rPr>
                <w:sz w:val="18"/>
              </w:rPr>
              <w:t>رئيس مجلس الرقابة: عبد النور سواكري.</w:t>
            </w:r>
          </w:p>
        </w:tc>
        <w:tc>
          <w:tcPr>
            <w:tcW w:type="dxa" w:w="2551"/>
          </w:tcPr>
          <w:p>
            <w:pPr>
              <w:jc w:val="right"/>
              <w:bidi/>
            </w:pPr>
            <w:r/>
            <w:r>
              <w:rPr>
                <w:sz w:val="18"/>
              </w:rPr>
              <w:t>Holcim تدير CBAM في كل جغرافياتها — قد تفرض محققها.</w:t>
            </w:r>
          </w:p>
        </w:tc>
      </w:tr>
      <w:tr>
        <w:tc>
          <w:tcPr>
            <w:tcW w:type="dxa" w:w="1474"/>
          </w:tcPr>
          <w:p>
            <w:pPr>
              <w:jc w:val="right"/>
              <w:bidi/>
            </w:pPr>
            <w:r/>
            <w:r>
              <w:rPr>
                <w:sz w:val="18"/>
              </w:rPr>
              <w:t>LafargeHolcim Algérie</w:t>
            </w:r>
          </w:p>
        </w:tc>
        <w:tc>
          <w:tcPr>
            <w:tcW w:type="dxa" w:w="1247"/>
          </w:tcPr>
          <w:p>
            <w:pPr>
              <w:jc w:val="right"/>
              <w:bidi/>
            </w:pPr>
            <w:r/>
            <w:r>
              <w:rPr>
                <w:sz w:val="18"/>
              </w:rPr>
              <w:t>المسيلة، وقاز (وهران)</w:t>
            </w:r>
          </w:p>
        </w:tc>
        <w:tc>
          <w:tcPr>
            <w:tcW w:type="dxa" w:w="1928"/>
          </w:tcPr>
          <w:p>
            <w:pPr>
              <w:jc w:val="right"/>
              <w:bidi/>
            </w:pPr>
            <w:r/>
            <w:r>
              <w:rPr>
                <w:sz w:val="18"/>
              </w:rPr>
              <w:t>Holcim Group.</w:t>
            </w:r>
          </w:p>
        </w:tc>
        <w:tc>
          <w:tcPr>
            <w:tcW w:type="dxa" w:w="2154"/>
          </w:tcPr>
          <w:p>
            <w:pPr>
              <w:jc w:val="right"/>
              <w:bidi/>
            </w:pPr>
            <w:r/>
            <w:r>
              <w:rPr>
                <w:sz w:val="18"/>
              </w:rPr>
              <w:t>—</w:t>
            </w:r>
          </w:p>
        </w:tc>
        <w:tc>
          <w:tcPr>
            <w:tcW w:type="dxa" w:w="2551"/>
          </w:tcPr>
          <w:p>
            <w:pPr>
              <w:jc w:val="right"/>
              <w:bidi/>
            </w:pPr>
            <w:r/>
            <w:r>
              <w:rPr>
                <w:sz w:val="18"/>
              </w:rPr>
              <w:t>نفس الملاحظة.</w:t>
            </w:r>
          </w:p>
        </w:tc>
      </w:tr>
    </w:tbl>
    <w:p/>
    <w:p>
      <w:pPr>
        <w:pStyle w:val="Heading1"/>
        <w:jc w:val="right"/>
        <w:bidi/>
      </w:pPr>
      <w:r>
        <w:rPr>
          <w:color w:val="1F3A5F"/>
        </w:rPr>
        <w:t>5. الطرف الذي يدفع فعلياً: المستوردون الأوروبيون</w:t>
      </w:r>
    </w:p>
    <w:p>
      <w:pPr>
        <w:pStyle w:val="ListBullet"/>
        <w:jc w:val="right"/>
        <w:bidi/>
      </w:pPr>
      <w:r>
        <w:rPr>
          <w:b/>
        </w:rPr>
        <w:t xml:space="preserve">الحديد: </w:t>
      </w:r>
      <w:r>
        <w:t>الحديد الجزائري (Tosyalı، AQS) يذهب أساساً إلى إيطاليا وإسبانيا؛ الجمعية الإيطالية Assofermet ضغطت لتوسيع حصص الجزائر في إجراءات الحماية الأوروبية بسبب بصمته الكربونية المنخفضة — أي أن المشترين الإيطاليين هم **أول من يطلب التحقق** لأنهم يدفعون الشهادات.</w:t>
      </w:r>
    </w:p>
    <w:p>
      <w:pPr>
        <w:pStyle w:val="ListBullet"/>
        <w:jc w:val="right"/>
        <w:bidi/>
      </w:pPr>
      <w:r>
        <w:rPr>
          <w:b/>
        </w:rPr>
        <w:t xml:space="preserve">الأسمدة: </w:t>
      </w:r>
      <w:r>
        <w:t>الأمونيا واليوريا الجزائرية معفاة من الرسوم الجمركية وتذهب لموردي الأسمدة الأوروبيين (إسبانيا، فرنسا، إيطاليا). إيطاليا أصبحت أول زبون للجزائر في 2025.</w:t>
      </w:r>
    </w:p>
    <w:p>
      <w:pPr>
        <w:pStyle w:val="ListBullet"/>
        <w:jc w:val="right"/>
        <w:bidi/>
      </w:pPr>
      <w:r>
        <w:rPr>
          <w:b/>
        </w:rPr>
        <w:t xml:space="preserve">الاستنتاج: </w:t>
      </w:r>
      <w:r>
        <w:t>المستورد الأوروبي هو "العميل الحقيقي" للتحقق حتى لو دفع المصنع الجزائري. قناة بديلة: الوصول للمنشآت **عبر مستورديها** — G&amp;F أو أي محقق أوروبي يعرف هؤلاء المستوردين.</w:t>
      </w:r>
    </w:p>
    <w:p>
      <w:pPr>
        <w:pStyle w:val="Heading1"/>
        <w:jc w:val="right"/>
        <w:bidi/>
      </w:pPr>
      <w:r>
        <w:rPr>
          <w:color w:val="1F3A5F"/>
        </w:rPr>
        <w:t>6. الجغرافيا العملياتية من الطارف</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701"/>
            <w:shd w:val="clear" w:color="auto" w:fill="1F3A5F"/>
          </w:tcPr>
          <w:p>
            <w:pPr>
              <w:jc w:val="right"/>
              <w:bidi/>
            </w:pPr>
            <w:r/>
            <w:r>
              <w:rPr>
                <w:b/>
                <w:color w:val="FFFFFF"/>
                <w:sz w:val="18"/>
              </w:rPr>
              <w:t>العنقود</w:t>
            </w:r>
          </w:p>
        </w:tc>
        <w:tc>
          <w:tcPr>
            <w:tcW w:type="dxa" w:w="3969"/>
            <w:shd w:val="clear" w:color="auto" w:fill="1F3A5F"/>
          </w:tcPr>
          <w:p>
            <w:pPr>
              <w:jc w:val="right"/>
              <w:bidi/>
            </w:pPr>
            <w:r/>
            <w:r>
              <w:rPr>
                <w:b/>
                <w:color w:val="FFFFFF"/>
                <w:sz w:val="18"/>
              </w:rPr>
              <w:t>المنشآت</w:t>
            </w:r>
          </w:p>
        </w:tc>
        <w:tc>
          <w:tcPr>
            <w:tcW w:type="dxa" w:w="1984"/>
            <w:shd w:val="clear" w:color="auto" w:fill="1F3A5F"/>
          </w:tcPr>
          <w:p>
            <w:pPr>
              <w:jc w:val="right"/>
              <w:bidi/>
            </w:pPr>
            <w:r/>
            <w:r>
              <w:rPr>
                <w:b/>
                <w:color w:val="FFFFFF"/>
                <w:sz w:val="18"/>
              </w:rPr>
              <w:t>المسافة من الطارف/عنابة</w:t>
            </w:r>
          </w:p>
        </w:tc>
        <w:tc>
          <w:tcPr>
            <w:tcW w:type="dxa" w:w="1701"/>
            <w:shd w:val="clear" w:color="auto" w:fill="1F3A5F"/>
          </w:tcPr>
          <w:p>
            <w:pPr>
              <w:jc w:val="right"/>
              <w:bidi/>
            </w:pPr>
            <w:r/>
            <w:r>
              <w:rPr>
                <w:b/>
                <w:color w:val="FFFFFF"/>
                <w:sz w:val="18"/>
              </w:rPr>
              <w:t>الميناء</w:t>
            </w:r>
          </w:p>
        </w:tc>
      </w:tr>
      <w:tr>
        <w:tc>
          <w:tcPr>
            <w:tcW w:type="dxa" w:w="1701"/>
          </w:tcPr>
          <w:p>
            <w:pPr>
              <w:jc w:val="right"/>
              <w:bidi/>
            </w:pPr>
            <w:r/>
            <w:r>
              <w:rPr>
                <w:sz w:val="18"/>
              </w:rPr>
              <w:t>الشرق (قاعدتك)</w:t>
            </w:r>
          </w:p>
        </w:tc>
        <w:tc>
          <w:tcPr>
            <w:tcW w:type="dxa" w:w="3969"/>
          </w:tcPr>
          <w:p>
            <w:pPr>
              <w:jc w:val="right"/>
              <w:bidi/>
            </w:pPr>
            <w:r/>
            <w:r>
              <w:rPr>
                <w:sz w:val="18"/>
              </w:rPr>
              <w:t>Fertial عنابة، ALSOLB الحجار، Asmidal</w:t>
            </w:r>
          </w:p>
        </w:tc>
        <w:tc>
          <w:tcPr>
            <w:tcW w:type="dxa" w:w="1984"/>
          </w:tcPr>
          <w:p>
            <w:pPr>
              <w:jc w:val="right"/>
              <w:bidi/>
            </w:pPr>
            <w:r/>
            <w:r>
              <w:rPr>
                <w:sz w:val="18"/>
              </w:rPr>
              <w:t>30–60 دقيقة</w:t>
            </w:r>
          </w:p>
        </w:tc>
        <w:tc>
          <w:tcPr>
            <w:tcW w:type="dxa" w:w="1701"/>
          </w:tcPr>
          <w:p>
            <w:pPr>
              <w:jc w:val="right"/>
              <w:bidi/>
            </w:pPr>
            <w:r/>
            <w:r>
              <w:rPr>
                <w:sz w:val="18"/>
              </w:rPr>
              <w:t>عنابة</w:t>
            </w:r>
          </w:p>
        </w:tc>
      </w:tr>
      <w:tr>
        <w:tc>
          <w:tcPr>
            <w:tcW w:type="dxa" w:w="1701"/>
          </w:tcPr>
          <w:p>
            <w:pPr>
              <w:jc w:val="right"/>
              <w:bidi/>
            </w:pPr>
            <w:r/>
            <w:r>
              <w:rPr>
                <w:sz w:val="18"/>
              </w:rPr>
              <w:t>الشرق الأوسط</w:t>
            </w:r>
          </w:p>
        </w:tc>
        <w:tc>
          <w:tcPr>
            <w:tcW w:type="dxa" w:w="3969"/>
          </w:tcPr>
          <w:p>
            <w:pPr>
              <w:jc w:val="right"/>
              <w:bidi/>
            </w:pPr>
            <w:r/>
            <w:r>
              <w:rPr>
                <w:sz w:val="18"/>
              </w:rPr>
              <w:t>AQS بلارة (جيجل)، Cilas وBiskria (بسكرة)، مصانع GICA الشرقية (عين الكبيرة، عين التوتة)</w:t>
            </w:r>
          </w:p>
        </w:tc>
        <w:tc>
          <w:tcPr>
            <w:tcW w:type="dxa" w:w="1984"/>
          </w:tcPr>
          <w:p>
            <w:pPr>
              <w:jc w:val="right"/>
              <w:bidi/>
            </w:pPr>
            <w:r/>
            <w:r>
              <w:rPr>
                <w:sz w:val="18"/>
              </w:rPr>
              <w:t>2.5–4 ساعات</w:t>
            </w:r>
          </w:p>
        </w:tc>
        <w:tc>
          <w:tcPr>
            <w:tcW w:type="dxa" w:w="1701"/>
          </w:tcPr>
          <w:p>
            <w:pPr>
              <w:jc w:val="right"/>
              <w:bidi/>
            </w:pPr>
            <w:r/>
            <w:r>
              <w:rPr>
                <w:sz w:val="18"/>
              </w:rPr>
              <w:t>جن جن، سكيكدة</w:t>
            </w:r>
          </w:p>
        </w:tc>
      </w:tr>
      <w:tr>
        <w:tc>
          <w:tcPr>
            <w:tcW w:type="dxa" w:w="1701"/>
          </w:tcPr>
          <w:p>
            <w:pPr>
              <w:jc w:val="right"/>
              <w:bidi/>
            </w:pPr>
            <w:r/>
            <w:r>
              <w:rPr>
                <w:sz w:val="18"/>
              </w:rPr>
              <w:t>الغرب</w:t>
            </w:r>
          </w:p>
        </w:tc>
        <w:tc>
          <w:tcPr>
            <w:tcW w:type="dxa" w:w="3969"/>
          </w:tcPr>
          <w:p>
            <w:pPr>
              <w:jc w:val="right"/>
              <w:bidi/>
            </w:pPr>
            <w:r/>
            <w:r>
              <w:rPr>
                <w:sz w:val="18"/>
              </w:rPr>
              <w:t>Sorfert، AOA، Tosyalı (أرزيو/بطيوة)، ECDE الشلف، LafargeHolcim وقاز</w:t>
            </w:r>
          </w:p>
        </w:tc>
        <w:tc>
          <w:tcPr>
            <w:tcW w:type="dxa" w:w="1984"/>
          </w:tcPr>
          <w:p>
            <w:pPr>
              <w:jc w:val="right"/>
              <w:bidi/>
            </w:pPr>
            <w:r/>
            <w:r>
              <w:rPr>
                <w:sz w:val="18"/>
              </w:rPr>
              <w:t>رحلة داخلية عنابة→وهران ثم 45 دقيقة</w:t>
            </w:r>
          </w:p>
        </w:tc>
        <w:tc>
          <w:tcPr>
            <w:tcW w:type="dxa" w:w="1701"/>
          </w:tcPr>
          <w:p>
            <w:pPr>
              <w:jc w:val="right"/>
              <w:bidi/>
            </w:pPr>
            <w:r/>
            <w:r>
              <w:rPr>
                <w:sz w:val="18"/>
              </w:rPr>
              <w:t>أرزيو، بطيوة، وهران، تنس</w:t>
            </w:r>
          </w:p>
        </w:tc>
      </w:tr>
    </w:tbl>
    <w:p/>
    <w:p>
      <w:pPr>
        <w:pStyle w:val="Heading1"/>
        <w:jc w:val="right"/>
        <w:bidi/>
      </w:pPr>
      <w:r>
        <w:rPr>
          <w:color w:val="A01E1E"/>
        </w:rPr>
        <w:t>7. ما يتغير في خطتك بعد هذا الملف</w:t>
      </w:r>
    </w:p>
    <w:tbl>
      <w:tblPr>
        <w:tblStyle w:val="TableGrid"/>
        <w:tblW w:type="auto" w:w="0"/>
        <w:tblLook w:firstColumn="1" w:firstRow="1" w:lastColumn="0" w:lastRow="0" w:noHBand="0" w:noVBand="1" w:val="04A0"/>
        <w:bidiVisual/>
      </w:tblPr>
      <w:tblGrid>
        <w:gridCol w:w="4986"/>
        <w:gridCol w:w="4986"/>
      </w:tblGrid>
      <w:tr>
        <w:tc>
          <w:tcPr>
            <w:tcW w:type="dxa" w:w="3969"/>
            <w:shd w:val="clear" w:color="auto" w:fill="1F3A5F"/>
          </w:tcPr>
          <w:p>
            <w:pPr>
              <w:jc w:val="right"/>
              <w:bidi/>
            </w:pPr>
            <w:r/>
            <w:r>
              <w:rPr>
                <w:b/>
                <w:color w:val="FFFFFF"/>
                <w:sz w:val="18"/>
              </w:rPr>
              <w:t>قبل</w:t>
            </w:r>
          </w:p>
        </w:tc>
        <w:tc>
          <w:tcPr>
            <w:tcW w:type="dxa" w:w="5669"/>
            <w:shd w:val="clear" w:color="auto" w:fill="1F3A5F"/>
          </w:tcPr>
          <w:p>
            <w:pPr>
              <w:jc w:val="right"/>
              <w:bidi/>
            </w:pPr>
            <w:r/>
            <w:r>
              <w:rPr>
                <w:b/>
                <w:color w:val="FFFFFF"/>
                <w:sz w:val="18"/>
              </w:rPr>
              <w:t>بعد</w:t>
            </w:r>
          </w:p>
        </w:tc>
      </w:tr>
      <w:tr>
        <w:tc>
          <w:tcPr>
            <w:tcW w:type="dxa" w:w="3969"/>
          </w:tcPr>
          <w:p>
            <w:pPr>
              <w:jc w:val="right"/>
              <w:bidi/>
            </w:pPr>
            <w:r/>
            <w:r>
              <w:rPr>
                <w:sz w:val="18"/>
              </w:rPr>
              <w:t>G&amp;F شريك وحيد</w:t>
            </w:r>
          </w:p>
        </w:tc>
        <w:tc>
          <w:tcPr>
            <w:tcW w:type="dxa" w:w="5669"/>
          </w:tcPr>
          <w:p>
            <w:pPr>
              <w:jc w:val="right"/>
              <w:bidi/>
            </w:pPr>
            <w:r/>
            <w:r>
              <w:rPr>
                <w:sz w:val="18"/>
              </w:rPr>
              <w:t>G&amp;F شريك أول + مسار موازٍ مع SGS Algérie (أو محقق بلغاري/أوروبي ثانٍ). لا حصرية قبل حسم ملف السمعة.</w:t>
            </w:r>
          </w:p>
        </w:tc>
      </w:tr>
      <w:tr>
        <w:tc>
          <w:tcPr>
            <w:tcW w:type="dxa" w:w="3969"/>
          </w:tcPr>
          <w:p>
            <w:pPr>
              <w:jc w:val="right"/>
              <w:bidi/>
            </w:pPr>
            <w:r/>
            <w:r>
              <w:rPr>
                <w:sz w:val="18"/>
              </w:rPr>
              <w:t>تقديم G&amp;F للوزير كشريك جاهز</w:t>
            </w:r>
          </w:p>
        </w:tc>
        <w:tc>
          <w:tcPr>
            <w:tcW w:type="dxa" w:w="5669"/>
          </w:tcPr>
          <w:p>
            <w:pPr>
              <w:jc w:val="right"/>
              <w:bidi/>
            </w:pPr>
            <w:r/>
            <w:r>
              <w:rPr>
                <w:sz w:val="18"/>
              </w:rPr>
              <w:t>تقديم "شريك أوروبي معتمد ETS (قيد التعاقد)" دون اسم حتى تُحسم نقطة EPPO كتابياً. المذكرة الوزارية تُعدَّل لتذكر "شريك معتمد" لا الاسم.</w:t>
            </w:r>
          </w:p>
        </w:tc>
      </w:tr>
      <w:tr>
        <w:tc>
          <w:tcPr>
            <w:tcW w:type="dxa" w:w="3969"/>
          </w:tcPr>
          <w:p>
            <w:pPr>
              <w:jc w:val="right"/>
              <w:bidi/>
            </w:pPr>
            <w:r/>
            <w:r>
              <w:rPr>
                <w:sz w:val="18"/>
              </w:rPr>
              <w:t>أول اتصال ميداني: Fertial</w:t>
            </w:r>
          </w:p>
        </w:tc>
        <w:tc>
          <w:tcPr>
            <w:tcW w:type="dxa" w:w="5669"/>
          </w:tcPr>
          <w:p>
            <w:pPr>
              <w:jc w:val="right"/>
              <w:bidi/>
            </w:pPr>
            <w:r/>
            <w:r>
              <w:rPr>
                <w:sz w:val="18"/>
              </w:rPr>
              <w:t>يبقى Fertial — لكن بمعرفة أن المدير العام رياض سايد جديد وتحت ضغط، وأن المخبر معتمد ALGERAC (مدخل تقني).</w:t>
            </w:r>
          </w:p>
        </w:tc>
      </w:tr>
      <w:tr>
        <w:tc>
          <w:tcPr>
            <w:tcW w:type="dxa" w:w="3969"/>
          </w:tcPr>
          <w:p>
            <w:pPr>
              <w:jc w:val="right"/>
              <w:bidi/>
            </w:pPr>
            <w:r/>
            <w:r>
              <w:rPr>
                <w:sz w:val="18"/>
              </w:rPr>
              <w:t>سؤال أنطون عن الاعتماد فقط</w:t>
            </w:r>
          </w:p>
        </w:tc>
        <w:tc>
          <w:tcPr>
            <w:tcW w:type="dxa" w:w="5669"/>
          </w:tcPr>
          <w:p>
            <w:pPr>
              <w:jc w:val="right"/>
              <w:bidi/>
            </w:pPr>
            <w:r/>
            <w:r>
              <w:rPr>
                <w:sz w:val="18"/>
              </w:rPr>
              <w:t>إضافة سؤال مهذب وصريح: "For my due diligence with Algerian public institutions: how does Green and Fair position itself regarding the 2023 EPPO investigation into ETS verification in Bulgaria? A short written statement would help me."</w:t>
            </w:r>
          </w:p>
        </w:tc>
      </w:tr>
    </w:tbl>
    <w:p/>
    <w:p>
      <w:pPr>
        <w:jc w:val="right"/>
        <w:bidi/>
      </w:pPr>
      <w:r>
        <w:rPr>
          <w:b/>
          <w:i w:val="0"/>
        </w:rPr>
        <w:t>إيميل إضافي لأنطون (يُرسل بعد رده الأول، لا الآن):</w:t>
      </w:r>
    </w:p>
    <w:p>
      <w:pPr>
        <w:jc w:val="right"/>
        <w:bidi/>
      </w:pPr>
      <w:r>
        <w:rPr>
          <w:b w:val="0"/>
          <w:i/>
          <w:sz w:val="19"/>
        </w:rPr>
        <w:t>"Anton, one point I must raise for transparency. Algerian public institutions run due diligence on foreign partners, and public sources link Green and Fair to the Bulgarian ETS verification case investigated by the EPPO since 2023 (as the verifier of the plants concerned until 2018). I understand the allegations concern the subsequent verifier, and that your BAS accreditation was renewed in March 2026. Could you provide a short written statement I can use if asked? This is not a judgement — it is what I will be asked."</w:t>
      </w:r>
    </w:p>
    <w:p>
      <w:pPr>
        <w:jc w:val="right"/>
        <w:bidi/>
      </w:pPr>
      <w:r>
        <w:rPr>
          <w:b w:val="0"/>
          <w:i w:val="0"/>
        </w:rPr>
        <w:t xml:space="preserve"> </w:t>
      </w:r>
    </w:p>
    <w:p>
      <w:pPr>
        <w:jc w:val="right"/>
        <w:bidi/>
      </w:pPr>
      <w:r>
        <w:rPr>
          <w:b w:val="0"/>
          <w:i w:val="0"/>
          <w:color w:val="555555"/>
          <w:sz w:val="15"/>
        </w:rPr>
        <w:t>المصادر: nab-bas.bg (سجل الاعتماد) · finansi.bg (السجل التجاري البلغاري) · green-and-fair.com · OCCRP 28/07/2021 · EPPO 27/02/2023 · fakti.bg/segabg.com 28/02/2023 · zazemiata.org 2024 · Transparency International Climate Corruption Atlas 01/2026 · Agence Ecofin 18/06/2024 · Le Provincial 22/10/2024 · El Watan 13/06/2024 · TSA 14/01/2026 · La Patrie/Ouest Tribune 05/2025 · Arab Fertilizer Association · USGS Minerals Yearbook · Radio Algérie 18/11/2024 · Le360 15/09/2025 · APS 19/11/2024 · pagesjaunes-dz · Eurometal 2023 · GMK Center 07/2026 · cbamguide.com 08/2026 · embeddedcarbonrecord.com · wikiprocedure (عناوين مكاتب التصديق بالجزائر).</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