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jc w:val="center"/>
      </w:pPr>
      <w:r>
        <w:rPr>
          <w:b/>
          <w:bCs/>
          <w:color w:val="1F3864"/>
          <w:sz w:val="26"/>
          <w:szCs w:val="26"/>
        </w:rPr>
        <w:t xml:space="preserve">MAROC TELECOM</w:t>
      </w:r>
    </w:p>
    <w:p>
      <w:pPr>
        <w:spacing w:after="100"/>
        <w:jc w:val="center"/>
      </w:pPr>
      <w:r>
        <w:rPr>
          <w:color w:val="595959"/>
          <w:sz w:val="22"/>
          <w:szCs w:val="22"/>
        </w:rPr>
        <w:t xml:space="preserve">Direction Générale — Siège, Hay Riad, Rabat</w:t>
      </w:r>
    </w:p>
    <w:p>
      <w:pPr>
        <w:spacing w:after="500"/>
      </w:pPr>
    </w:p>
    <w:p>
      <w:pPr>
        <w:pBdr>
          <w:top w:val="single" w:color="2E74B5" w:sz="12" w:space="10"/>
          <w:bottom w:val="single" w:color="2E74B5" w:sz="12" w:space="10"/>
        </w:pBdr>
        <w:spacing w:after="200" w:before="200"/>
        <w:jc w:val="center"/>
      </w:pPr>
      <w:r>
        <w:rPr>
          <w:b/>
          <w:bCs/>
          <w:color w:val="1F3864"/>
          <w:sz w:val="44"/>
          <w:szCs w:val="44"/>
        </w:rPr>
        <w:t xml:space="preserve">CAHIER DES CHARGES</w:t>
      </w:r>
    </w:p>
    <w:p>
      <w:pPr>
        <w:spacing w:after="300"/>
      </w:pPr>
    </w:p>
    <w:p>
      <w:pPr>
        <w:spacing w:after="120"/>
        <w:jc w:val="center"/>
      </w:pPr>
      <w:r>
        <w:rPr>
          <w:b/>
          <w:bCs/>
          <w:color w:val="2E74B5"/>
          <w:sz w:val="40"/>
          <w:szCs w:val="40"/>
        </w:rPr>
        <w:t xml:space="preserve">Réseau Sous Contrôle</w:t>
      </w:r>
    </w:p>
    <w:p>
      <w:pPr>
        <w:spacing w:after="700"/>
        <w:jc w:val="center"/>
      </w:pPr>
      <w:r>
        <w:rPr>
          <w:b/>
          <w:bCs/>
          <w:color w:val="2E74B5"/>
          <w:sz w:val="26"/>
          <w:szCs w:val="26"/>
        </w:rPr>
        <w:t xml:space="preserve">Voir, Comprendre, Anticiper</w:t>
      </w:r>
    </w:p>
    <w:p>
      <w:pPr>
        <w:spacing w:after="700"/>
      </w:pP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6250"/>
      </w:tblGrid>
      <w:tr>
        <w:trPr>
          <w:tblHeader/>
        </w:trPr>
        <w:tc>
          <w:tcPr>
            <w:tcW w:type="dxa" w:w="3100"/>
            <w:shd w:fill="1F3864" w:val="clear"/>
            <w:tcMar>
              <w:top w:type="dxa" w:w="100"/>
              <w:left w:type="dxa" w:w="120"/>
              <w:bottom w:type="dxa" w:w="100"/>
              <w:right w:type="dxa" w:w="120"/>
            </w:tcMar>
            <w:vAlign w:val="center"/>
          </w:tcPr>
          <w:p>
            <w:r>
              <w:rPr>
                <w:b/>
                <w:bCs/>
                <w:color w:val="FFFFFF"/>
                <w:sz w:val="20"/>
                <w:szCs w:val="20"/>
              </w:rPr>
              <w:t xml:space="preserve"/>
            </w:r>
          </w:p>
        </w:tc>
        <w:tc>
          <w:tcPr>
            <w:tcW w:type="dxa" w:w="6250"/>
            <w:shd w:fill="1F3864" w:val="clear"/>
            <w:tcMar>
              <w:top w:type="dxa" w:w="100"/>
              <w:left w:type="dxa" w:w="120"/>
              <w:bottom w:type="dxa" w:w="100"/>
              <w:right w:type="dxa" w:w="120"/>
            </w:tcMar>
            <w:vAlign w:val="center"/>
          </w:tcPr>
          <w:p>
            <w:r>
              <w:rPr>
                <w:b/>
                <w:bCs/>
                <w:color w:val="FFFFFF"/>
                <w:sz w:val="20"/>
                <w:szCs w:val="20"/>
              </w:rPr>
              <w:t xml:space="preserve"/>
            </w:r>
          </w:p>
        </w:tc>
      </w:tr>
      <w:tr>
        <w:tc>
          <w:tcPr>
            <w:tcW w:type="dxa" w:w="3100"/>
            <w:shd w:fill="FFFFFF" w:val="clear"/>
            <w:tcMar>
              <w:top w:type="dxa" w:w="90"/>
              <w:left w:type="dxa" w:w="120"/>
              <w:bottom w:type="dxa" w:w="90"/>
              <w:right w:type="dxa" w:w="120"/>
            </w:tcMar>
            <w:vAlign w:val="center"/>
          </w:tcPr>
          <w:p>
            <w:r>
              <w:rPr>
                <w:sz w:val="20"/>
                <w:szCs w:val="20"/>
              </w:rPr>
              <w:t xml:space="preserve">Projet de Fin d'Année (PFA)</w:t>
            </w:r>
          </w:p>
        </w:tc>
        <w:tc>
          <w:tcPr>
            <w:tcW w:type="dxa" w:w="6250"/>
            <w:shd w:fill="FFFFFF" w:val="clear"/>
            <w:tcMar>
              <w:top w:type="dxa" w:w="90"/>
              <w:left w:type="dxa" w:w="120"/>
              <w:bottom w:type="dxa" w:w="90"/>
              <w:right w:type="dxa" w:w="120"/>
            </w:tcMar>
            <w:vAlign w:val="center"/>
          </w:tcPr>
          <w:p>
            <w:r>
              <w:rPr>
                <w:sz w:val="20"/>
                <w:szCs w:val="20"/>
              </w:rPr>
              <w:t xml:space="preserve"/>
            </w:r>
          </w:p>
        </w:tc>
      </w:tr>
      <w:tr>
        <w:tc>
          <w:tcPr>
            <w:tcW w:type="dxa" w:w="3100"/>
            <w:shd w:fill="F2F2F2" w:val="clear"/>
            <w:tcMar>
              <w:top w:type="dxa" w:w="90"/>
              <w:left w:type="dxa" w:w="120"/>
              <w:bottom w:type="dxa" w:w="90"/>
              <w:right w:type="dxa" w:w="120"/>
            </w:tcMar>
            <w:vAlign w:val="center"/>
          </w:tcPr>
          <w:p>
            <w:r>
              <w:rPr>
                <w:sz w:val="20"/>
                <w:szCs w:val="20"/>
              </w:rPr>
              <w:t xml:space="preserve">Étudiant</w:t>
            </w:r>
          </w:p>
        </w:tc>
        <w:tc>
          <w:tcPr>
            <w:tcW w:type="dxa" w:w="6250"/>
            <w:shd w:fill="F2F2F2" w:val="clear"/>
            <w:tcMar>
              <w:top w:type="dxa" w:w="90"/>
              <w:left w:type="dxa" w:w="120"/>
              <w:bottom w:type="dxa" w:w="90"/>
              <w:right w:type="dxa" w:w="120"/>
            </w:tcMar>
            <w:vAlign w:val="center"/>
          </w:tcPr>
          <w:p>
            <w:r>
              <w:rPr>
                <w:sz w:val="20"/>
                <w:szCs w:val="20"/>
              </w:rPr>
              <w:t xml:space="preserve">Mohammed Houssam LAZREK</w:t>
            </w:r>
          </w:p>
        </w:tc>
      </w:tr>
      <w:tr>
        <w:tc>
          <w:tcPr>
            <w:tcW w:type="dxa" w:w="3100"/>
            <w:shd w:fill="FFFFFF" w:val="clear"/>
            <w:tcMar>
              <w:top w:type="dxa" w:w="90"/>
              <w:left w:type="dxa" w:w="120"/>
              <w:bottom w:type="dxa" w:w="90"/>
              <w:right w:type="dxa" w:w="120"/>
            </w:tcMar>
            <w:vAlign w:val="center"/>
          </w:tcPr>
          <w:p>
            <w:r>
              <w:rPr>
                <w:sz w:val="20"/>
                <w:szCs w:val="20"/>
              </w:rPr>
              <w:t xml:space="preserve">Établissement</w:t>
            </w:r>
          </w:p>
        </w:tc>
        <w:tc>
          <w:tcPr>
            <w:tcW w:type="dxa" w:w="6250"/>
            <w:shd w:fill="FFFFFF" w:val="clear"/>
            <w:tcMar>
              <w:top w:type="dxa" w:w="90"/>
              <w:left w:type="dxa" w:w="120"/>
              <w:bottom w:type="dxa" w:w="90"/>
              <w:right w:type="dxa" w:w="120"/>
            </w:tcMar>
            <w:vAlign w:val="center"/>
          </w:tcPr>
          <w:p>
            <w:r>
              <w:rPr>
                <w:sz w:val="20"/>
                <w:szCs w:val="20"/>
              </w:rPr>
              <w:t xml:space="preserve">INPT — Institut National des Postes et Télécommunications</w:t>
            </w:r>
          </w:p>
        </w:tc>
      </w:tr>
      <w:tr>
        <w:tc>
          <w:tcPr>
            <w:tcW w:type="dxa" w:w="3100"/>
            <w:shd w:fill="F2F2F2" w:val="clear"/>
            <w:tcMar>
              <w:top w:type="dxa" w:w="90"/>
              <w:left w:type="dxa" w:w="120"/>
              <w:bottom w:type="dxa" w:w="90"/>
              <w:right w:type="dxa" w:w="120"/>
            </w:tcMar>
            <w:vAlign w:val="center"/>
          </w:tcPr>
          <w:p>
            <w:r>
              <w:rPr>
                <w:sz w:val="20"/>
                <w:szCs w:val="20"/>
              </w:rPr>
              <w:t xml:space="preserve">Filière</w:t>
            </w:r>
          </w:p>
        </w:tc>
        <w:tc>
          <w:tcPr>
            <w:tcW w:type="dxa" w:w="6250"/>
            <w:shd w:fill="F2F2F2" w:val="clear"/>
            <w:tcMar>
              <w:top w:type="dxa" w:w="90"/>
              <w:left w:type="dxa" w:w="120"/>
              <w:bottom w:type="dxa" w:w="90"/>
              <w:right w:type="dxa" w:w="120"/>
            </w:tcMar>
            <w:vAlign w:val="center"/>
          </w:tcPr>
          <w:p>
            <w:r>
              <w:rPr>
                <w:sz w:val="20"/>
                <w:szCs w:val="20"/>
              </w:rPr>
              <w:t xml:space="preserve">INE2 — AMOA</w:t>
            </w:r>
          </w:p>
        </w:tc>
      </w:tr>
      <w:tr>
        <w:tc>
          <w:tcPr>
            <w:tcW w:type="dxa" w:w="3100"/>
            <w:shd w:fill="FFFFFF" w:val="clear"/>
            <w:tcMar>
              <w:top w:type="dxa" w:w="90"/>
              <w:left w:type="dxa" w:w="120"/>
              <w:bottom w:type="dxa" w:w="90"/>
              <w:right w:type="dxa" w:w="120"/>
            </w:tcMar>
            <w:vAlign w:val="center"/>
          </w:tcPr>
          <w:p>
            <w:r>
              <w:rPr>
                <w:sz w:val="20"/>
                <w:szCs w:val="20"/>
              </w:rPr>
              <w:t xml:space="preserve">Organisme d'accueil</w:t>
            </w:r>
          </w:p>
        </w:tc>
        <w:tc>
          <w:tcPr>
            <w:tcW w:type="dxa" w:w="6250"/>
            <w:shd w:fill="FFFFFF" w:val="clear"/>
            <w:tcMar>
              <w:top w:type="dxa" w:w="90"/>
              <w:left w:type="dxa" w:w="120"/>
              <w:bottom w:type="dxa" w:w="90"/>
              <w:right w:type="dxa" w:w="120"/>
            </w:tcMar>
            <w:vAlign w:val="center"/>
          </w:tcPr>
          <w:p>
            <w:r>
              <w:rPr>
                <w:sz w:val="20"/>
                <w:szCs w:val="20"/>
              </w:rPr>
              <w:t xml:space="preserve">Maroc Telecom — Direction Générale, Hay Riad, Rabat (Siège)</w:t>
            </w:r>
          </w:p>
        </w:tc>
      </w:tr>
      <w:tr>
        <w:tc>
          <w:tcPr>
            <w:tcW w:type="dxa" w:w="3100"/>
            <w:shd w:fill="F2F2F2" w:val="clear"/>
            <w:tcMar>
              <w:top w:type="dxa" w:w="90"/>
              <w:left w:type="dxa" w:w="120"/>
              <w:bottom w:type="dxa" w:w="90"/>
              <w:right w:type="dxa" w:w="120"/>
            </w:tcMar>
            <w:vAlign w:val="center"/>
          </w:tcPr>
          <w:p>
            <w:r>
              <w:rPr>
                <w:sz w:val="20"/>
                <w:szCs w:val="20"/>
              </w:rPr>
              <w:t xml:space="preserve">Encadrant entreprise</w:t>
            </w:r>
          </w:p>
        </w:tc>
        <w:tc>
          <w:tcPr>
            <w:tcW w:type="dxa" w:w="6250"/>
            <w:shd w:fill="F2F2F2" w:val="clear"/>
            <w:tcMar>
              <w:top w:type="dxa" w:w="90"/>
              <w:left w:type="dxa" w:w="120"/>
              <w:bottom w:type="dxa" w:w="90"/>
              <w:right w:type="dxa" w:w="120"/>
            </w:tcMar>
            <w:vAlign w:val="center"/>
          </w:tcPr>
          <w:p>
            <w:r>
              <w:rPr>
                <w:sz w:val="20"/>
                <w:szCs w:val="20"/>
              </w:rPr>
              <w:t xml:space="preserve">M. Zakaria SOUKRAT</w:t>
            </w:r>
          </w:p>
        </w:tc>
      </w:tr>
      <w:tr>
        <w:tc>
          <w:tcPr>
            <w:tcW w:type="dxa" w:w="3100"/>
            <w:shd w:fill="FFFFFF" w:val="clear"/>
            <w:tcMar>
              <w:top w:type="dxa" w:w="90"/>
              <w:left w:type="dxa" w:w="120"/>
              <w:bottom w:type="dxa" w:w="90"/>
              <w:right w:type="dxa" w:w="120"/>
            </w:tcMar>
            <w:vAlign w:val="center"/>
          </w:tcPr>
          <w:p>
            <w:r>
              <w:rPr>
                <w:sz w:val="20"/>
                <w:szCs w:val="20"/>
              </w:rPr>
              <w:t xml:space="preserve">Année universitaire</w:t>
            </w:r>
          </w:p>
        </w:tc>
        <w:tc>
          <w:tcPr>
            <w:tcW w:type="dxa" w:w="6250"/>
            <w:shd w:fill="FFFFFF" w:val="clear"/>
            <w:tcMar>
              <w:top w:type="dxa" w:w="90"/>
              <w:left w:type="dxa" w:w="120"/>
              <w:bottom w:type="dxa" w:w="90"/>
              <w:right w:type="dxa" w:w="120"/>
            </w:tcMar>
            <w:vAlign w:val="center"/>
          </w:tcPr>
          <w:p>
            <w:r>
              <w:rPr>
                <w:sz w:val="20"/>
                <w:szCs w:val="20"/>
              </w:rPr>
              <w:t xml:space="preserve">2025 – 2026</w:t>
            </w:r>
          </w:p>
        </w:tc>
      </w:tr>
    </w:tbl>
    <w:p>
      <w:pPr>
        <w:spacing w:after="900"/>
      </w:pPr>
    </w:p>
    <w:p>
      <w:pPr>
        <w:jc w:val="center"/>
      </w:pPr>
      <w:r>
        <w:rPr>
          <w:i/>
          <w:iCs/>
          <w:color w:val="595959"/>
          <w:sz w:val="18"/>
          <w:szCs w:val="18"/>
        </w:rPr>
        <w:t xml:space="preserve">Document de cadrage à présenter à l'encadrant pour validation du sujet</w:t>
      </w:r>
    </w:p>
    <w:p>
      <w:pPr>
        <w:sectPr>
          <w:pgSz w:w="11906" w:h="16838" w:orient="portrait"/>
          <w:pgMar w:top="1000" w:right="1100" w:bottom="1000" w:left="1100" w:header="708" w:footer="708" w:gutter="0"/>
          <w:pgNumType/>
          <w:docGrid w:linePitch="360"/>
        </w:sectPr>
      </w:pPr>
    </w:p>
    <w:p>
      <w:pPr>
        <w:pStyle w:val="Heading1"/>
        <w:pBdr>
          <w:bottom w:val="single" w:color="2E74B5" w:sz="8" w:space="4"/>
        </w:pBdr>
        <w:spacing w:after="200" w:before="400"/>
      </w:pPr>
      <w:r>
        <w:rPr>
          <w:b/>
          <w:bCs/>
          <w:color w:val="1F3864"/>
          <w:sz w:val="30"/>
          <w:szCs w:val="30"/>
        </w:rPr>
        <w:t xml:space="preserve">1. </w:t>
      </w:r>
      <w:r>
        <w:rPr>
          <w:b/>
          <w:bCs/>
          <w:color w:val="1F3864"/>
          <w:sz w:val="30"/>
          <w:szCs w:val="30"/>
        </w:rPr>
        <w:t xml:space="preserve">Présentation générale du projet</w:t>
      </w:r>
    </w:p>
    <w:p>
      <w:pPr>
        <w:pStyle w:val="Heading2"/>
        <w:spacing w:after="120" w:before="260"/>
      </w:pPr>
      <w:r>
        <w:rPr>
          <w:b/>
          <w:bCs/>
          <w:color w:val="2E74B5"/>
          <w:sz w:val="24"/>
          <w:szCs w:val="24"/>
        </w:rPr>
        <w:t xml:space="preserve">1.1 En une phrase</w:t>
      </w:r>
    </w:p>
    <w:tbl>
      <w:tblPr>
        <w:tblW w:type="dxa" w:w="9350"/>
        <w:tblBorders>
          <w:top w:val="single" w:color="2E74B5" w:sz="4"/>
          <w:left w:val="single" w:color="2E74B5" w:sz="4"/>
          <w:bottom w:val="single" w:color="2E74B5" w:sz="4"/>
          <w:right w:val="single" w:color="2E74B5" w:sz="4"/>
          <w:insideH w:val="none"/>
          <w:insideV w:val="none"/>
        </w:tblBorders>
      </w:tblPr>
      <w:tblGrid>
        <w:gridCol w:w="100"/>
      </w:tblGrid>
      <w:tr>
        <w:tc>
          <w:tcPr>
            <w:tcW w:type="dxa" w:w="9350"/>
            <w:shd w:fill="DCE6F1" w:val="clear"/>
            <w:tcMar>
              <w:top w:type="dxa" w:w="160"/>
              <w:left w:type="dxa" w:w="200"/>
              <w:bottom w:type="dxa" w:w="160"/>
              <w:right w:type="dxa" w:w="200"/>
            </w:tcMar>
          </w:tcPr>
          <w:p>
            <w:pPr>
              <w:spacing w:after="100"/>
            </w:pPr>
            <w:r>
              <w:rPr>
                <w:b/>
                <w:bCs/>
                <w:color w:val="1F3864"/>
                <w:sz w:val="22"/>
                <w:szCs w:val="22"/>
              </w:rPr>
              <w:t xml:space="preserve">L'idée du projet, simplement</w:t>
            </w:r>
          </w:p>
          <w:p>
            <w:pPr>
              <w:spacing w:after="60" w:line="270"/>
            </w:pPr>
            <w:r>
              <w:rPr>
                <w:color w:val="333333"/>
                <w:sz w:val="21"/>
                <w:szCs w:val="21"/>
              </w:rPr>
              <w:t xml:space="preserve">• Maroc Telecom réalise régulièrement des campagnes de mesure terrain ("benchmark") pour vérifier la qualité de son réseau mobile, dans toutes les régions du Maroc.</w:t>
            </w:r>
          </w:p>
          <w:p>
            <w:pPr>
              <w:spacing w:after="60" w:line="270"/>
            </w:pPr>
            <w:r>
              <w:rPr>
                <w:color w:val="333333"/>
                <w:sz w:val="21"/>
                <w:szCs w:val="21"/>
              </w:rPr>
              <w:t xml:space="preserve">• Ces mesures existent mais restent dispersées et analysées au cas par cas, sans vision d'ensemble consolidée à l'échelle du pays.</w:t>
            </w:r>
          </w:p>
          <w:p>
            <w:pPr>
              <w:spacing w:after="60" w:line="270"/>
            </w:pPr>
            <w:r>
              <w:rPr>
                <w:color w:val="333333"/>
                <w:sz w:val="21"/>
                <w:szCs w:val="21"/>
              </w:rPr>
              <w:t xml:space="preserve">• Ce projet construit une chaîne complète — de la donnée brute jusqu'à l'intelligence artificielle — qui centralise ces mesures au niveau national, les visualise sur un tableau de bord, et va plus loin en utilisant l'IA pour prédire la qualité du réseau et détecter automatiquement les zones à risque.</w:t>
            </w:r>
          </w:p>
        </w:tc>
      </w:tr>
    </w:tbl>
    <w:p>
      <w:pPr>
        <w:spacing w:after="200"/>
      </w:pPr>
    </w:p>
    <w:p>
      <w:pPr>
        <w:pStyle w:val="Heading2"/>
        <w:spacing w:after="120" w:before="260"/>
      </w:pPr>
      <w:r>
        <w:rPr>
          <w:b/>
          <w:bCs/>
          <w:color w:val="2E74B5"/>
          <w:sz w:val="24"/>
          <w:szCs w:val="24"/>
        </w:rPr>
        <w:t xml:space="preserve">1.2 Contexte</w:t>
      </w:r>
    </w:p>
    <w:p>
      <w:pPr>
        <w:spacing w:after="160" w:line="300"/>
      </w:pPr>
      <w:r>
        <w:rPr>
          <w:sz w:val="22"/>
          <w:szCs w:val="22"/>
        </w:rPr>
        <w:t xml:space="preserve">Maroc Telecom (IAM) est le principal opérateur télécom du Maroc. Ce stage se déroule au sein de la Direction Générale, au siège de Hay Riad à Rabat — ce qui donne une vision transverse, à l'échelle nationale, plutôt que centrée sur une seule direction régionale.</w:t>
      </w:r>
    </w:p>
    <w:p>
      <w:pPr>
        <w:spacing w:after="160" w:line="300"/>
      </w:pPr>
      <w:r>
        <w:rPr>
          <w:sz w:val="22"/>
          <w:szCs w:val="22"/>
        </w:rPr>
        <w:t xml:space="preserve">Pour vérifier que son réseau fonctionne bien partout, l'entreprise réalise des campagnes de mesure terrain ("benchmark") : un véhicule équipé de téléphones et de capteurs GPS roule sur le terrain et enregistre en continu la qualité du signal reçu. Ces campagnes sont menées dans différentes régions du Royaume.</w:t>
      </w:r>
    </w:p>
    <w:p>
      <w:pPr>
        <w:spacing w:after="160" w:line="300"/>
      </w:pPr>
      <w:r>
        <w:rPr>
          <w:sz w:val="22"/>
          <w:szCs w:val="22"/>
        </w:rPr>
        <w:t xml:space="preserve">Le Maroc se prépare par ailleurs à la Coupe du Monde 2030, ce qui impose une qualité de réseau irréprochable sur l'ensemble du territoire national — pas seulement dans quelques grandes villes. Ce contexte renforce l'intérêt d'une vision consolidée et nationale de la qualité de service.</w:t>
      </w:r>
    </w:p>
    <w:p>
      <w:pPr>
        <w:spacing w:after="160" w:line="300"/>
      </w:pPr>
      <w:r>
        <w:rPr>
          <w:sz w:val="22"/>
          <w:szCs w:val="22"/>
        </w:rPr>
        <w:t xml:space="preserve">Le problème actuel : les données de mesure sont riches mais dispersées, analysées région par région, sans base de données unique ni outil consolidé permettant une vision d'ensemble, des comparaisons inter-régionales, et une anticipation des zones à risque.</w:t>
      </w:r>
    </w:p>
    <w:p>
      <w:pPr>
        <w:pStyle w:val="Heading2"/>
        <w:spacing w:after="120" w:before="260"/>
      </w:pPr>
      <w:r>
        <w:rPr>
          <w:b/>
          <w:bCs/>
          <w:color w:val="2E74B5"/>
          <w:sz w:val="24"/>
          <w:szCs w:val="24"/>
        </w:rPr>
        <w:t xml:space="preserve">1.3 Objectif du projet</w:t>
      </w:r>
    </w:p>
    <w:p>
      <w:pPr>
        <w:spacing w:after="160" w:line="300"/>
      </w:pPr>
      <w:r>
        <w:rPr>
          <w:sz w:val="22"/>
          <w:szCs w:val="22"/>
        </w:rPr>
        <w:t xml:space="preserve">Construire une chaîne de traitement de données complète, à l'échelle nationale, qui :</w:t>
      </w:r>
    </w:p>
    <w:p>
      <w:pPr>
        <w:pStyle w:val="ListParagraph"/>
        <w:numPr>
          <w:ilvl w:val="0"/>
          <w:numId w:val="2"/>
        </w:numPr>
        <w:spacing w:after="90" w:line="280"/>
      </w:pPr>
      <w:r>
        <w:rPr>
          <w:sz w:val="22"/>
          <w:szCs w:val="22"/>
        </w:rPr>
        <w:t xml:space="preserve">centralise les mesures de qualité réseau de toutes les régions du Maroc dans une base de données unique et structurée ;</w:t>
      </w:r>
    </w:p>
    <w:p>
      <w:pPr>
        <w:pStyle w:val="ListParagraph"/>
        <w:numPr>
          <w:ilvl w:val="0"/>
          <w:numId w:val="2"/>
        </w:numPr>
        <w:spacing w:after="90" w:line="280"/>
      </w:pPr>
      <w:r>
        <w:rPr>
          <w:sz w:val="22"/>
          <w:szCs w:val="22"/>
        </w:rPr>
        <w:t xml:space="preserve">les rend visibles et exploitables via un tableau de bord interactif (carte du Maroc, filtres, indicateurs) ;</w:t>
      </w:r>
    </w:p>
    <w:p>
      <w:pPr>
        <w:pStyle w:val="ListParagraph"/>
        <w:numPr>
          <w:ilvl w:val="0"/>
          <w:numId w:val="2"/>
        </w:numPr>
        <w:spacing w:after="90" w:line="280"/>
      </w:pPr>
      <w:r>
        <w:rPr>
          <w:sz w:val="22"/>
          <w:szCs w:val="22"/>
        </w:rPr>
        <w:t xml:space="preserve">va plus loin qu'un simple constat en utilisant l'intelligence artificielle pour prédire la qualité du réseau et repérer automatiquement les zones à risque, sans attendre la prochaine campagne de mesure.</w:t>
      </w:r>
    </w:p>
    <w:p>
      <w:pPr>
        <w:pStyle w:val="Heading2"/>
        <w:spacing w:after="120" w:before="260"/>
      </w:pPr>
      <w:r>
        <w:rPr>
          <w:b/>
          <w:bCs/>
          <w:color w:val="2E74B5"/>
          <w:sz w:val="24"/>
          <w:szCs w:val="24"/>
        </w:rPr>
        <w:t xml:space="preserve">1.4 Pourquoi ce projet a de la valeur pour l'entreprise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675"/>
        <w:gridCol w:w="4675"/>
      </w:tblGrid>
      <w:tr>
        <w:trPr>
          <w:tblHeader/>
        </w:trPr>
        <w:tc>
          <w:tcPr>
            <w:tcW w:type="dxa" w:w="4675"/>
            <w:shd w:fill="1F3864" w:val="clear"/>
            <w:tcMar>
              <w:top w:type="dxa" w:w="100"/>
              <w:left w:type="dxa" w:w="120"/>
              <w:bottom w:type="dxa" w:w="100"/>
              <w:right w:type="dxa" w:w="120"/>
            </w:tcMar>
            <w:vAlign w:val="center"/>
          </w:tcPr>
          <w:p>
            <w:r>
              <w:rPr>
                <w:b/>
                <w:bCs/>
                <w:color w:val="FFFFFF"/>
                <w:sz w:val="20"/>
                <w:szCs w:val="20"/>
              </w:rPr>
              <w:t xml:space="preserve">Aujourd'hui (sans l'outil)</w:t>
            </w:r>
          </w:p>
        </w:tc>
        <w:tc>
          <w:tcPr>
            <w:tcW w:type="dxa" w:w="4675"/>
            <w:shd w:fill="1F3864" w:val="clear"/>
            <w:tcMar>
              <w:top w:type="dxa" w:w="100"/>
              <w:left w:type="dxa" w:w="120"/>
              <w:bottom w:type="dxa" w:w="100"/>
              <w:right w:type="dxa" w:w="120"/>
            </w:tcMar>
            <w:vAlign w:val="center"/>
          </w:tcPr>
          <w:p>
            <w:r>
              <w:rPr>
                <w:b/>
                <w:bCs/>
                <w:color w:val="FFFFFF"/>
                <w:sz w:val="20"/>
                <w:szCs w:val="20"/>
              </w:rPr>
              <w:t xml:space="preserve">Avec l'outil développé</w:t>
            </w:r>
          </w:p>
        </w:tc>
      </w:tr>
      <w:tr>
        <w:tc>
          <w:tcPr>
            <w:tcW w:type="dxa" w:w="4675"/>
            <w:shd w:fill="FFFFFF" w:val="clear"/>
            <w:tcMar>
              <w:top w:type="dxa" w:w="90"/>
              <w:left w:type="dxa" w:w="120"/>
              <w:bottom w:type="dxa" w:w="90"/>
              <w:right w:type="dxa" w:w="120"/>
            </w:tcMar>
            <w:vAlign w:val="center"/>
          </w:tcPr>
          <w:p>
            <w:r>
              <w:rPr>
                <w:sz w:val="20"/>
                <w:szCs w:val="20"/>
              </w:rPr>
              <w:t xml:space="preserve">Les campagnes de mesure sont analysées région par région, sans vue consolidée.</w:t>
            </w:r>
          </w:p>
        </w:tc>
        <w:tc>
          <w:tcPr>
            <w:tcW w:type="dxa" w:w="4675"/>
            <w:shd w:fill="FFFFFF" w:val="clear"/>
            <w:tcMar>
              <w:top w:type="dxa" w:w="90"/>
              <w:left w:type="dxa" w:w="120"/>
              <w:bottom w:type="dxa" w:w="90"/>
              <w:right w:type="dxa" w:w="120"/>
            </w:tcMar>
            <w:vAlign w:val="center"/>
          </w:tcPr>
          <w:p>
            <w:r>
              <w:rPr>
                <w:sz w:val="20"/>
                <w:szCs w:val="20"/>
              </w:rPr>
              <w:t xml:space="preserve">Une base de données nationale unique, avec une vision comparative entre régions.</w:t>
            </w:r>
          </w:p>
        </w:tc>
      </w:tr>
      <w:tr>
        <w:tc>
          <w:tcPr>
            <w:tcW w:type="dxa" w:w="4675"/>
            <w:shd w:fill="F2F2F2" w:val="clear"/>
            <w:tcMar>
              <w:top w:type="dxa" w:w="90"/>
              <w:left w:type="dxa" w:w="120"/>
              <w:bottom w:type="dxa" w:w="90"/>
              <w:right w:type="dxa" w:w="120"/>
            </w:tcMar>
            <w:vAlign w:val="center"/>
          </w:tcPr>
          <w:p>
            <w:r>
              <w:rPr>
                <w:sz w:val="20"/>
                <w:szCs w:val="20"/>
              </w:rPr>
              <w:t xml:space="preserve">Il faut du temps pour croiser plusieurs sources et repérer une zone à problème.</w:t>
            </w:r>
          </w:p>
        </w:tc>
        <w:tc>
          <w:tcPr>
            <w:tcW w:type="dxa" w:w="4675"/>
            <w:shd w:fill="F2F2F2" w:val="clear"/>
            <w:tcMar>
              <w:top w:type="dxa" w:w="90"/>
              <w:left w:type="dxa" w:w="120"/>
              <w:bottom w:type="dxa" w:w="90"/>
              <w:right w:type="dxa" w:w="120"/>
            </w:tcMar>
            <w:vAlign w:val="center"/>
          </w:tcPr>
          <w:p>
            <w:r>
              <w:rPr>
                <w:sz w:val="20"/>
                <w:szCs w:val="20"/>
              </w:rPr>
              <w:t xml:space="preserve">Une carte nationale interactive identifie en quelques secondes les zones faibles.</w:t>
            </w:r>
          </w:p>
        </w:tc>
      </w:tr>
      <w:tr>
        <w:tc>
          <w:tcPr>
            <w:tcW w:type="dxa" w:w="4675"/>
            <w:shd w:fill="FFFFFF" w:val="clear"/>
            <w:tcMar>
              <w:top w:type="dxa" w:w="90"/>
              <w:left w:type="dxa" w:w="120"/>
              <w:bottom w:type="dxa" w:w="90"/>
              <w:right w:type="dxa" w:w="120"/>
            </w:tcMar>
            <w:vAlign w:val="center"/>
          </w:tcPr>
          <w:p>
            <w:r>
              <w:rPr>
                <w:sz w:val="20"/>
                <w:szCs w:val="20"/>
              </w:rPr>
              <w:t xml:space="preserve">On ne connaît la qualité du réseau qu'au moment précis d'une mesure.</w:t>
            </w:r>
          </w:p>
        </w:tc>
        <w:tc>
          <w:tcPr>
            <w:tcW w:type="dxa" w:w="4675"/>
            <w:shd w:fill="FFFFFF" w:val="clear"/>
            <w:tcMar>
              <w:top w:type="dxa" w:w="90"/>
              <w:left w:type="dxa" w:w="120"/>
              <w:bottom w:type="dxa" w:w="90"/>
              <w:right w:type="dxa" w:w="120"/>
            </w:tcMar>
            <w:vAlign w:val="center"/>
          </w:tcPr>
          <w:p>
            <w:r>
              <w:rPr>
                <w:sz w:val="20"/>
                <w:szCs w:val="20"/>
              </w:rPr>
              <w:t xml:space="preserve">L'IA permet d'estimer la qualité réseau même sans mesure récente à un endroit donné.</w:t>
            </w:r>
          </w:p>
        </w:tc>
      </w:tr>
      <w:tr>
        <w:tc>
          <w:tcPr>
            <w:tcW w:type="dxa" w:w="4675"/>
            <w:shd w:fill="F2F2F2" w:val="clear"/>
            <w:tcMar>
              <w:top w:type="dxa" w:w="90"/>
              <w:left w:type="dxa" w:w="120"/>
              <w:bottom w:type="dxa" w:w="90"/>
              <w:right w:type="dxa" w:w="120"/>
            </w:tcMar>
            <w:vAlign w:val="center"/>
          </w:tcPr>
          <w:p>
            <w:r>
              <w:rPr>
                <w:sz w:val="20"/>
                <w:szCs w:val="20"/>
              </w:rPr>
              <w:t xml:space="preserve">Les anomalies sont repérées manuellement, avec des seuils fixes arbitraires.</w:t>
            </w:r>
          </w:p>
        </w:tc>
        <w:tc>
          <w:tcPr>
            <w:tcW w:type="dxa" w:w="4675"/>
            <w:shd w:fill="F2F2F2" w:val="clear"/>
            <w:tcMar>
              <w:top w:type="dxa" w:w="90"/>
              <w:left w:type="dxa" w:w="120"/>
              <w:bottom w:type="dxa" w:w="90"/>
              <w:right w:type="dxa" w:w="120"/>
            </w:tcMar>
            <w:vAlign w:val="center"/>
          </w:tcPr>
          <w:p>
            <w:r>
              <w:rPr>
                <w:sz w:val="20"/>
                <w:szCs w:val="20"/>
              </w:rPr>
              <w:t xml:space="preserve">Un modèle de détection automatique apprend ce qui est normal ou non, zone par zone.</w:t>
            </w:r>
          </w:p>
        </w:tc>
      </w:tr>
      <w:tr>
        <w:tc>
          <w:tcPr>
            <w:tcW w:type="dxa" w:w="4675"/>
            <w:shd w:fill="FFFFFF" w:val="clear"/>
            <w:tcMar>
              <w:top w:type="dxa" w:w="90"/>
              <w:left w:type="dxa" w:w="120"/>
              <w:bottom w:type="dxa" w:w="90"/>
              <w:right w:type="dxa" w:w="120"/>
            </w:tcMar>
            <w:vAlign w:val="center"/>
          </w:tcPr>
          <w:p>
            <w:r>
              <w:rPr>
                <w:sz w:val="20"/>
                <w:szCs w:val="20"/>
              </w:rPr>
              <w:t xml:space="preserve">Peu de visibilité consolidée avant un événement stratégique (Coupe du Monde 2030).</w:t>
            </w:r>
          </w:p>
        </w:tc>
        <w:tc>
          <w:tcPr>
            <w:tcW w:type="dxa" w:w="4675"/>
            <w:shd w:fill="FFFFFF" w:val="clear"/>
            <w:tcMar>
              <w:top w:type="dxa" w:w="90"/>
              <w:left w:type="dxa" w:w="120"/>
              <w:bottom w:type="dxa" w:w="90"/>
              <w:right w:type="dxa" w:w="120"/>
            </w:tcMar>
            <w:vAlign w:val="center"/>
          </w:tcPr>
          <w:p>
            <w:r>
              <w:rPr>
                <w:sz w:val="20"/>
                <w:szCs w:val="20"/>
              </w:rPr>
              <w:t xml:space="preserve">Un état des lieux clair, actualisable, à l'échelle du Royaume.</w:t>
            </w:r>
          </w:p>
        </w:tc>
      </w:tr>
    </w:tbl>
    <w:p>
      <w:r>
        <w:br w:type="page"/>
      </w:r>
    </w:p>
    <w:p>
      <w:pPr>
        <w:pStyle w:val="Heading1"/>
        <w:pBdr>
          <w:bottom w:val="single" w:color="2E74B5" w:sz="8" w:space="4"/>
        </w:pBdr>
        <w:spacing w:after="200" w:before="400"/>
      </w:pPr>
      <w:r>
        <w:rPr>
          <w:b/>
          <w:bCs/>
          <w:color w:val="1F3864"/>
          <w:sz w:val="30"/>
          <w:szCs w:val="30"/>
        </w:rPr>
        <w:t xml:space="preserve">2. </w:t>
      </w:r>
      <w:r>
        <w:rPr>
          <w:b/>
          <w:bCs/>
          <w:color w:val="1F3864"/>
          <w:sz w:val="30"/>
          <w:szCs w:val="30"/>
        </w:rPr>
        <w:t xml:space="preserve">Comprendre les mots techniques</w:t>
      </w:r>
    </w:p>
    <w:p>
      <w:pPr>
        <w:spacing w:after="160" w:line="300"/>
      </w:pPr>
      <w:r>
        <w:rPr>
          <w:sz w:val="22"/>
          <w:szCs w:val="22"/>
        </w:rPr>
        <w:t xml:space="preserve">Cette section explique, en langage simple, tous les termes techniques utilisés dans ce document — y compris ceux liés à l'intelligence artificielle — afin que le projet soit compréhensible par toute personne, technique ou non.</w:t>
      </w:r>
    </w:p>
    <w:p>
      <w:pPr>
        <w:pStyle w:val="Heading2"/>
        <w:spacing w:after="120" w:before="260"/>
      </w:pPr>
      <w:r>
        <w:rPr>
          <w:b/>
          <w:bCs/>
          <w:color w:val="2E74B5"/>
          <w:sz w:val="24"/>
          <w:szCs w:val="24"/>
        </w:rPr>
        <w:t xml:space="preserve">2.1 Vocabulaire réseau / télécom</w:t>
      </w:r>
    </w:p>
    <w:p>
      <w:pPr>
        <w:spacing w:after="130" w:line="280"/>
      </w:pPr>
      <w:r>
        <w:rPr>
          <w:b/>
          <w:bCs/>
          <w:color w:val="1F3864"/>
          <w:sz w:val="22"/>
          <w:szCs w:val="22"/>
        </w:rPr>
        <w:t xml:space="preserve">Benchmark (ou "drive test") — </w:t>
      </w:r>
      <w:r>
        <w:rPr>
          <w:sz w:val="22"/>
          <w:szCs w:val="22"/>
        </w:rPr>
        <w:t xml:space="preserve">Une campagne de mesure faite en conduisant un véhicule équipé d'appareils qui testent automatiquement la qualité du réseau tout le long du trajet.</w:t>
      </w:r>
    </w:p>
    <w:p>
      <w:pPr>
        <w:spacing w:after="130" w:line="280"/>
      </w:pPr>
      <w:r>
        <w:rPr>
          <w:b/>
          <w:bCs/>
          <w:color w:val="1F3864"/>
          <w:sz w:val="22"/>
          <w:szCs w:val="22"/>
        </w:rPr>
        <w:t xml:space="preserve">BTS (Base Transceiver Station) — </w:t>
      </w:r>
      <w:r>
        <w:rPr>
          <w:sz w:val="22"/>
          <w:szCs w:val="22"/>
        </w:rPr>
        <w:t xml:space="preserve">L'antenne relais qui connecte le téléphone d'un utilisateur au réseau de l'opérateur.</w:t>
      </w:r>
    </w:p>
    <w:p>
      <w:pPr>
        <w:spacing w:after="130" w:line="280"/>
      </w:pPr>
      <w:r>
        <w:rPr>
          <w:b/>
          <w:bCs/>
          <w:color w:val="1F3864"/>
          <w:sz w:val="22"/>
          <w:szCs w:val="22"/>
        </w:rPr>
        <w:t xml:space="preserve">2G / 3G / 4G / 5G — </w:t>
      </w:r>
      <w:r>
        <w:rPr>
          <w:sz w:val="22"/>
          <w:szCs w:val="22"/>
        </w:rPr>
        <w:t xml:space="preserve">Les générations successives de réseau mobile, chacune plus rapide et plus performante que la précédente.</w:t>
      </w:r>
    </w:p>
    <w:p>
      <w:pPr>
        <w:spacing w:after="130" w:line="280"/>
      </w:pPr>
      <w:r>
        <w:rPr>
          <w:b/>
          <w:bCs/>
          <w:color w:val="1F3864"/>
          <w:sz w:val="22"/>
          <w:szCs w:val="22"/>
        </w:rPr>
        <w:t xml:space="preserve">RSRP (puissance du signal) — </w:t>
      </w:r>
      <w:r>
        <w:rPr>
          <w:sz w:val="22"/>
          <w:szCs w:val="22"/>
        </w:rPr>
        <w:t xml:space="preserve">Un chiffre, en général négatif, qui indique la force du signal reçu par le téléphone. Plus proche de 0, meilleur est le signal.</w:t>
      </w:r>
    </w:p>
    <w:p>
      <w:pPr>
        <w:spacing w:after="130" w:line="280"/>
      </w:pPr>
      <w:r>
        <w:rPr>
          <w:b/>
          <w:bCs/>
          <w:color w:val="1F3864"/>
          <w:sz w:val="22"/>
          <w:szCs w:val="22"/>
        </w:rPr>
        <w:t xml:space="preserve">RSRQ (qualité du signal) — </w:t>
      </w:r>
      <w:r>
        <w:rPr>
          <w:sz w:val="22"/>
          <w:szCs w:val="22"/>
        </w:rPr>
        <w:t xml:space="preserve">Mesure la clarté réelle du signal, en tenant compte des interférences — un signal peut être fort mais brouillé.</w:t>
      </w:r>
    </w:p>
    <w:p>
      <w:pPr>
        <w:spacing w:after="130" w:line="280"/>
      </w:pPr>
      <w:r>
        <w:rPr>
          <w:b/>
          <w:bCs/>
          <w:color w:val="1F3864"/>
          <w:sz w:val="22"/>
          <w:szCs w:val="22"/>
        </w:rPr>
        <w:t xml:space="preserve">Débit (descendant / montant) — </w:t>
      </w:r>
      <w:r>
        <w:rPr>
          <w:sz w:val="22"/>
          <w:szCs w:val="22"/>
        </w:rPr>
        <w:t xml:space="preserve">La vitesse de téléchargement (descendant) ou d'envoi (montant) de données.</w:t>
      </w:r>
    </w:p>
    <w:p>
      <w:pPr>
        <w:spacing w:after="130" w:line="280"/>
      </w:pPr>
      <w:r>
        <w:rPr>
          <w:b/>
          <w:bCs/>
          <w:color w:val="1F3864"/>
          <w:sz w:val="22"/>
          <w:szCs w:val="22"/>
        </w:rPr>
        <w:t xml:space="preserve">Cellule saturée — </w:t>
      </w:r>
      <w:r>
        <w:rPr>
          <w:sz w:val="22"/>
          <w:szCs w:val="22"/>
        </w:rPr>
        <w:t xml:space="preserve">Une antenne qui reçoit trop de connexions par rapport à sa capacité, ce qui fait chuter le débit malgré un bon signal.</w:t>
      </w:r>
    </w:p>
    <w:p>
      <w:pPr>
        <w:pStyle w:val="Heading2"/>
        <w:spacing w:after="120" w:before="260"/>
      </w:pPr>
      <w:r>
        <w:rPr>
          <w:b/>
          <w:bCs/>
          <w:color w:val="2E74B5"/>
          <w:sz w:val="24"/>
          <w:szCs w:val="24"/>
        </w:rPr>
        <w:t xml:space="preserve">2.2 Vocabulaire données / informatique</w:t>
      </w:r>
    </w:p>
    <w:p>
      <w:pPr>
        <w:spacing w:after="130" w:line="280"/>
      </w:pPr>
      <w:r>
        <w:rPr>
          <w:b/>
          <w:bCs/>
          <w:color w:val="1F3864"/>
          <w:sz w:val="22"/>
          <w:szCs w:val="22"/>
        </w:rPr>
        <w:t xml:space="preserve">ETL (Extraire, Transformer, Charger) — </w:t>
      </w:r>
      <w:r>
        <w:rPr>
          <w:sz w:val="22"/>
          <w:szCs w:val="22"/>
        </w:rPr>
        <w:t xml:space="preserve">Le processus qui prépare les données brutes avant analyse : on les extrait, on les nettoie/transforme, puis on les charge dans une base de données organisée.</w:t>
      </w:r>
    </w:p>
    <w:p>
      <w:pPr>
        <w:spacing w:after="130" w:line="280"/>
      </w:pPr>
      <w:r>
        <w:rPr>
          <w:b/>
          <w:bCs/>
          <w:color w:val="1F3864"/>
          <w:sz w:val="22"/>
          <w:szCs w:val="22"/>
        </w:rPr>
        <w:t xml:space="preserve">Pipeline — </w:t>
      </w:r>
      <w:r>
        <w:rPr>
          <w:sz w:val="22"/>
          <w:szCs w:val="22"/>
        </w:rPr>
        <w:t xml:space="preserve">L'enchaînement automatique des étapes de traitement des données, comme une chaîne de montage.</w:t>
      </w:r>
    </w:p>
    <w:p>
      <w:pPr>
        <w:spacing w:after="130" w:line="280"/>
      </w:pPr>
      <w:r>
        <w:rPr>
          <w:b/>
          <w:bCs/>
          <w:color w:val="1F3864"/>
          <w:sz w:val="22"/>
          <w:szCs w:val="22"/>
        </w:rPr>
        <w:t xml:space="preserve">Base de données (SQL Server) — </w:t>
      </w:r>
      <w:r>
        <w:rPr>
          <w:sz w:val="22"/>
          <w:szCs w:val="22"/>
        </w:rPr>
        <w:t xml:space="preserve">Un système qui stocke les informations de façon organisée en tables reliées entre elles, pour les retrouver et les analyser rapidement, même en grand volume.</w:t>
      </w:r>
    </w:p>
    <w:p>
      <w:pPr>
        <w:spacing w:after="130" w:line="280"/>
      </w:pPr>
      <w:r>
        <w:rPr>
          <w:b/>
          <w:bCs/>
          <w:color w:val="1F3864"/>
          <w:sz w:val="22"/>
          <w:szCs w:val="22"/>
        </w:rPr>
        <w:t xml:space="preserve">Power BI — </w:t>
      </w:r>
      <w:r>
        <w:rPr>
          <w:sz w:val="22"/>
          <w:szCs w:val="22"/>
        </w:rPr>
        <w:t xml:space="preserve">Un logiciel de visualisation qui transforme des données en graphiques, cartes et tableaux de bord interactifs.</w:t>
      </w:r>
    </w:p>
    <w:p>
      <w:pPr>
        <w:spacing w:after="130" w:line="280"/>
      </w:pPr>
      <w:r>
        <w:rPr>
          <w:b/>
          <w:bCs/>
          <w:color w:val="1F3864"/>
          <w:sz w:val="22"/>
          <w:szCs w:val="22"/>
        </w:rPr>
        <w:t xml:space="preserve">Indicateur clé de performance (KPI) — </w:t>
      </w:r>
      <w:r>
        <w:rPr>
          <w:sz w:val="22"/>
          <w:szCs w:val="22"/>
        </w:rPr>
        <w:t xml:space="preserve">Un chiffre simple et suivi régulièrement qui résume une performance, ex : débit moyen, taux de coupure.</w:t>
      </w:r>
    </w:p>
    <w:p>
      <w:pPr>
        <w:pStyle w:val="Heading2"/>
        <w:spacing w:after="120" w:before="260"/>
      </w:pPr>
      <w:r>
        <w:rPr>
          <w:b/>
          <w:bCs/>
          <w:color w:val="2E74B5"/>
          <w:sz w:val="24"/>
          <w:szCs w:val="24"/>
        </w:rPr>
        <w:t xml:space="preserve">2.3 Vocabulaire Intelligence Artificielle</w:t>
      </w:r>
    </w:p>
    <w:p>
      <w:pPr>
        <w:spacing w:after="130" w:line="280"/>
      </w:pPr>
      <w:r>
        <w:rPr>
          <w:b/>
          <w:bCs/>
          <w:color w:val="1F3864"/>
          <w:sz w:val="22"/>
          <w:szCs w:val="22"/>
        </w:rPr>
        <w:t xml:space="preserve">Machine Learning (apprentissage automatique) — </w:t>
      </w:r>
      <w:r>
        <w:rPr>
          <w:sz w:val="22"/>
          <w:szCs w:val="22"/>
        </w:rPr>
        <w:t xml:space="preserve">Une méthode où un programme apprend tout seul à reconnaître des schémas à partir de nombreux exemples passés, au lieu de suivre des règles écrites à la main. Exemple : deviner la qualité du réseau à un endroit en se basant sur des milliers de mesures passées dans des conditions similaires.</w:t>
      </w:r>
    </w:p>
    <w:p>
      <w:pPr>
        <w:spacing w:after="130" w:line="280"/>
      </w:pPr>
      <w:r>
        <w:rPr>
          <w:b/>
          <w:bCs/>
          <w:color w:val="1F3864"/>
          <w:sz w:val="22"/>
          <w:szCs w:val="22"/>
        </w:rPr>
        <w:t xml:space="preserve">Deep Learning (apprentissage profond) — </w:t>
      </w:r>
      <w:r>
        <w:rPr>
          <w:sz w:val="22"/>
          <w:szCs w:val="22"/>
        </w:rPr>
        <w:t xml:space="preserve">Une famille plus avancée du Machine Learning, basée sur des réseaux de neurones inspirés du cerveau humain. Plus puissante, mais elle a besoin de beaucoup plus de données pour être réellement utile.</w:t>
      </w:r>
    </w:p>
    <w:p>
      <w:pPr>
        <w:spacing w:after="130" w:line="280"/>
      </w:pPr>
      <w:r>
        <w:rPr>
          <w:b/>
          <w:bCs/>
          <w:color w:val="1F3864"/>
          <w:sz w:val="22"/>
          <w:szCs w:val="22"/>
        </w:rPr>
        <w:t xml:space="preserve">Modèle prédictif — </w:t>
      </w:r>
      <w:r>
        <w:rPr>
          <w:sz w:val="22"/>
          <w:szCs w:val="22"/>
        </w:rPr>
        <w:t xml:space="preserve">Le programme entraîné, capable de faire des prédictions sur des situations nouvelles, jamais vues auparavant.</w:t>
      </w:r>
    </w:p>
    <w:p>
      <w:pPr>
        <w:spacing w:after="130" w:line="280"/>
      </w:pPr>
      <w:r>
        <w:rPr>
          <w:b/>
          <w:bCs/>
          <w:color w:val="1F3864"/>
          <w:sz w:val="22"/>
          <w:szCs w:val="22"/>
        </w:rPr>
        <w:t xml:space="preserve">Entraînement ("training") — </w:t>
      </w:r>
      <w:r>
        <w:rPr>
          <w:sz w:val="22"/>
          <w:szCs w:val="22"/>
        </w:rPr>
        <w:t xml:space="preserve">L'étape où on donne au modèle de nombreux exemples passés pour qu'il apprenne les schémas cachés dans les données.</w:t>
      </w:r>
    </w:p>
    <w:p>
      <w:pPr>
        <w:spacing w:after="130" w:line="280"/>
      </w:pPr>
      <w:r>
        <w:rPr>
          <w:b/>
          <w:bCs/>
          <w:color w:val="1F3864"/>
          <w:sz w:val="22"/>
          <w:szCs w:val="22"/>
        </w:rPr>
        <w:t xml:space="preserve">Détection d'anomalies — </w:t>
      </w:r>
      <w:r>
        <w:rPr>
          <w:sz w:val="22"/>
          <w:szCs w:val="22"/>
        </w:rPr>
        <w:t xml:space="preserve">La capacité d'un modèle à repérer automatiquement une donnée qui sort de l'ordinaire, sans qu'on ait fixé de seuil fixe à la main.</w:t>
      </w:r>
    </w:p>
    <w:p>
      <w:pPr>
        <w:spacing w:after="130" w:line="280"/>
      </w:pPr>
      <w:r>
        <w:rPr>
          <w:b/>
          <w:bCs/>
          <w:color w:val="1F3864"/>
          <w:sz w:val="22"/>
          <w:szCs w:val="22"/>
        </w:rPr>
        <w:t xml:space="preserve">Réseau de neurones — </w:t>
      </w:r>
      <w:r>
        <w:rPr>
          <w:sz w:val="22"/>
          <w:szCs w:val="22"/>
        </w:rPr>
        <w:t xml:space="preserve">La brique de base du Deep Learning : plusieurs couches de calculs simples empilées, qui ensemble apprennent des schémas complexes.</w:t>
      </w:r>
    </w:p>
    <w:p>
      <w:pPr>
        <w:spacing w:after="130" w:line="280"/>
      </w:pPr>
      <w:r>
        <w:rPr>
          <w:b/>
          <w:bCs/>
          <w:color w:val="1F3864"/>
          <w:sz w:val="22"/>
          <w:szCs w:val="22"/>
        </w:rPr>
        <w:t xml:space="preserve">LSTM — </w:t>
      </w:r>
      <w:r>
        <w:rPr>
          <w:sz w:val="22"/>
          <w:szCs w:val="22"/>
        </w:rPr>
        <w:t xml:space="preserve">Un type de réseau de neurones spécialisé dans les données qui évoluent dans le temps (séries temporelles), utile pour anticiper une tendance future.</w:t>
      </w:r>
    </w:p>
    <w:p>
      <w:pPr>
        <w:pStyle w:val="Heading1"/>
        <w:pBdr>
          <w:bottom w:val="single" w:color="2E74B5" w:sz="8" w:space="4"/>
        </w:pBdr>
        <w:spacing w:after="200" w:before="400"/>
      </w:pPr>
      <w:r>
        <w:rPr>
          <w:b/>
          <w:bCs/>
          <w:color w:val="1F3864"/>
          <w:sz w:val="30"/>
          <w:szCs w:val="30"/>
        </w:rPr>
        <w:t xml:space="preserve">3. </w:t>
      </w:r>
      <w:r>
        <w:rPr>
          <w:b/>
          <w:bCs/>
          <w:color w:val="1F3864"/>
          <w:sz w:val="30"/>
          <w:szCs w:val="30"/>
        </w:rPr>
        <w:t xml:space="preserve">Ce que l'outil doit permettre de faire</w:t>
      </w:r>
    </w:p>
    <w:p>
      <w:pPr>
        <w:pStyle w:val="Heading2"/>
        <w:spacing w:after="120" w:before="260"/>
      </w:pPr>
      <w:r>
        <w:rPr>
          <w:b/>
          <w:bCs/>
          <w:color w:val="2E74B5"/>
          <w:sz w:val="24"/>
          <w:szCs w:val="24"/>
        </w:rPr>
        <w:t xml:space="preserve">3.1 Fonctionnalités liées aux données et à la visualisation</w:t>
      </w:r>
    </w:p>
    <w:p>
      <w:pPr>
        <w:pStyle w:val="ListParagraph"/>
        <w:numPr>
          <w:ilvl w:val="0"/>
          <w:numId w:val="2"/>
        </w:numPr>
        <w:spacing w:after="90" w:line="280"/>
      </w:pPr>
      <w:r>
        <w:rPr>
          <w:b/>
          <w:bCs/>
          <w:sz w:val="22"/>
          <w:szCs w:val="22"/>
        </w:rPr>
        <w:t xml:space="preserve">Carte nationale interactive </w:t>
      </w:r>
      <w:r>
        <w:rPr>
          <w:sz w:val="22"/>
          <w:szCs w:val="22"/>
        </w:rPr>
        <w:t xml:space="preserve"> montrant la qualité du réseau région par région et ville par ville, avec un code couleur.</w:t>
      </w:r>
    </w:p>
    <w:p>
      <w:pPr>
        <w:pStyle w:val="ListParagraph"/>
        <w:numPr>
          <w:ilvl w:val="0"/>
          <w:numId w:val="2"/>
        </w:numPr>
        <w:spacing w:after="90" w:line="280"/>
      </w:pPr>
      <w:r>
        <w:rPr>
          <w:b/>
          <w:bCs/>
          <w:sz w:val="22"/>
          <w:szCs w:val="22"/>
        </w:rPr>
        <w:t xml:space="preserve">Filtres multiples </w:t>
      </w:r>
      <w:r>
        <w:rPr>
          <w:sz w:val="22"/>
          <w:szCs w:val="22"/>
        </w:rPr>
        <w:t xml:space="preserve"> par région, ville, technologie (2G/3G/4G/5G) et période.</w:t>
      </w:r>
    </w:p>
    <w:p>
      <w:pPr>
        <w:pStyle w:val="ListParagraph"/>
        <w:numPr>
          <w:ilvl w:val="0"/>
          <w:numId w:val="2"/>
        </w:numPr>
        <w:spacing w:after="90" w:line="280"/>
      </w:pPr>
      <w:r>
        <w:rPr>
          <w:b/>
          <w:bCs/>
          <w:sz w:val="22"/>
          <w:szCs w:val="22"/>
        </w:rPr>
        <w:t xml:space="preserve">Comparaison inter-régionale </w:t>
      </w:r>
      <w:r>
        <w:rPr>
          <w:sz w:val="22"/>
          <w:szCs w:val="22"/>
        </w:rPr>
        <w:t xml:space="preserve"> pour situer chaque région par rapport aux autres.</w:t>
      </w:r>
    </w:p>
    <w:p>
      <w:pPr>
        <w:pStyle w:val="ListParagraph"/>
        <w:numPr>
          <w:ilvl w:val="0"/>
          <w:numId w:val="2"/>
        </w:numPr>
        <w:spacing w:after="90" w:line="280"/>
      </w:pPr>
      <w:r>
        <w:rPr>
          <w:b/>
          <w:bCs/>
          <w:sz w:val="22"/>
          <w:szCs w:val="22"/>
        </w:rPr>
        <w:t xml:space="preserve">Suivi temporel </w:t>
      </w:r>
      <w:r>
        <w:rPr>
          <w:sz w:val="22"/>
          <w:szCs w:val="22"/>
        </w:rPr>
        <w:t xml:space="preserve"> pour observer l'évolution de la qualité réseau au fil des campagnes de mesure.</w:t>
      </w:r>
    </w:p>
    <w:p>
      <w:pPr>
        <w:pStyle w:val="ListParagraph"/>
        <w:numPr>
          <w:ilvl w:val="0"/>
          <w:numId w:val="2"/>
        </w:numPr>
        <w:spacing w:after="90" w:line="280"/>
      </w:pPr>
      <w:r>
        <w:rPr>
          <w:b/>
          <w:bCs/>
          <w:sz w:val="22"/>
          <w:szCs w:val="22"/>
        </w:rPr>
        <w:t xml:space="preserve">Indicateurs consolidés </w:t>
      </w:r>
      <w:r>
        <w:rPr>
          <w:sz w:val="22"/>
          <w:szCs w:val="22"/>
        </w:rPr>
        <w:t xml:space="preserve"> (débit moyen, taux de coupure, pourcentage de bonne couverture) à l'échelle nationale, régionale et locale.</w:t>
      </w:r>
    </w:p>
    <w:p>
      <w:pPr>
        <w:pStyle w:val="Heading2"/>
        <w:spacing w:after="120" w:before="260"/>
      </w:pPr>
      <w:r>
        <w:rPr>
          <w:b/>
          <w:bCs/>
          <w:color w:val="2E74B5"/>
          <w:sz w:val="24"/>
          <w:szCs w:val="24"/>
        </w:rPr>
        <w:t xml:space="preserve">3.2 Fonctionnalités liées à l'Intelligence Artificielle</w:t>
      </w:r>
    </w:p>
    <w:p>
      <w:pPr>
        <w:pStyle w:val="ListParagraph"/>
        <w:numPr>
          <w:ilvl w:val="0"/>
          <w:numId w:val="2"/>
        </w:numPr>
        <w:spacing w:after="90" w:line="280"/>
      </w:pPr>
      <w:r>
        <w:rPr>
          <w:b/>
          <w:bCs/>
          <w:sz w:val="22"/>
          <w:szCs w:val="22"/>
        </w:rPr>
        <w:t xml:space="preserve">Prédiction de la qualité réseau </w:t>
      </w:r>
      <w:r>
        <w:rPr>
          <w:sz w:val="22"/>
          <w:szCs w:val="22"/>
        </w:rPr>
        <w:t xml:space="preserve"> à un endroit et un moment donné, même sans mesure récente à cet endroit précis.</w:t>
      </w:r>
    </w:p>
    <w:p>
      <w:pPr>
        <w:pStyle w:val="ListParagraph"/>
        <w:numPr>
          <w:ilvl w:val="0"/>
          <w:numId w:val="2"/>
        </w:numPr>
        <w:spacing w:after="90" w:line="280"/>
      </w:pPr>
      <w:r>
        <w:rPr>
          <w:b/>
          <w:bCs/>
          <w:sz w:val="22"/>
          <w:szCs w:val="22"/>
        </w:rPr>
        <w:t xml:space="preserve">Détection automatique des zones à risque </w:t>
      </w:r>
      <w:r>
        <w:rPr>
          <w:sz w:val="22"/>
          <w:szCs w:val="22"/>
        </w:rPr>
        <w:t xml:space="preserve"> (anomalies), sans seuil fixé manuellement.</w:t>
      </w:r>
    </w:p>
    <w:p>
      <w:pPr>
        <w:pStyle w:val="ListParagraph"/>
        <w:numPr>
          <w:ilvl w:val="0"/>
          <w:numId w:val="2"/>
        </w:numPr>
        <w:spacing w:after="90" w:line="280"/>
      </w:pPr>
      <w:r>
        <w:rPr>
          <w:b/>
          <w:bCs/>
          <w:sz w:val="22"/>
          <w:szCs w:val="22"/>
        </w:rPr>
        <w:t xml:space="preserve">Regroupement automatique des zones </w:t>
      </w:r>
      <w:r>
        <w:rPr>
          <w:sz w:val="22"/>
          <w:szCs w:val="22"/>
        </w:rPr>
        <w:t xml:space="preserve"> en catégories (bonne couverture stable, couverture faible à surveiller, etc.).</w:t>
      </w:r>
    </w:p>
    <w:p>
      <w:pPr>
        <w:pStyle w:val="ListParagraph"/>
        <w:numPr>
          <w:ilvl w:val="0"/>
          <w:numId w:val="2"/>
        </w:numPr>
        <w:spacing w:after="90" w:line="280"/>
      </w:pPr>
      <w:r>
        <w:rPr>
          <w:b/>
          <w:bCs/>
          <w:sz w:val="22"/>
          <w:szCs w:val="22"/>
        </w:rPr>
        <w:t xml:space="preserve">Comparaison Machine Learning / Deep Learning </w:t>
      </w:r>
      <w:r>
        <w:rPr>
          <w:sz w:val="22"/>
          <w:szCs w:val="22"/>
        </w:rPr>
        <w:t xml:space="preserve"> sur la tâche de prédiction, avec une analyse honnête de ce qui fonctionne le mieux selon le volume de données disponible.</w:t>
      </w:r>
    </w:p>
    <w:p>
      <w:pPr>
        <w:pStyle w:val="Heading2"/>
        <w:spacing w:after="120" w:before="260"/>
      </w:pPr>
      <w:r>
        <w:rPr>
          <w:b/>
          <w:bCs/>
          <w:color w:val="2E74B5"/>
          <w:sz w:val="24"/>
          <w:szCs w:val="24"/>
        </w:rPr>
        <w:t xml:space="preserve">3.3 Ce que l'outil ne fera pas (hors périmètre)</w:t>
      </w:r>
    </w:p>
    <w:p>
      <w:pPr>
        <w:spacing w:after="160" w:line="300"/>
      </w:pPr>
      <w:r>
        <w:rPr>
          <w:sz w:val="22"/>
          <w:szCs w:val="22"/>
        </w:rPr>
        <w:t xml:space="preserve">Pour que le projet reste réalisable dans le temps imparti, certains points sont volontairement exclus de cette première version :</w:t>
      </w:r>
    </w:p>
    <w:p>
      <w:pPr>
        <w:pStyle w:val="ListParagraph"/>
        <w:numPr>
          <w:ilvl w:val="0"/>
          <w:numId w:val="2"/>
        </w:numPr>
        <w:spacing w:after="90" w:line="280"/>
      </w:pPr>
      <w:r>
        <w:rPr>
          <w:sz w:val="22"/>
          <w:szCs w:val="22"/>
        </w:rPr>
        <w:t xml:space="preserve">La collecte automatique en temps réel depuis les véhicules de mesure (le projet se base sur des exports de campagnes déjà réalisées, réelles ou simulées de façon réaliste).</w:t>
      </w:r>
    </w:p>
    <w:p>
      <w:pPr>
        <w:pStyle w:val="ListParagraph"/>
        <w:numPr>
          <w:ilvl w:val="0"/>
          <w:numId w:val="2"/>
        </w:numPr>
        <w:spacing w:after="90" w:line="280"/>
      </w:pPr>
      <w:r>
        <w:rPr>
          <w:sz w:val="22"/>
          <w:szCs w:val="22"/>
        </w:rPr>
        <w:t xml:space="preserve">L'intervention automatique sur les équipements réseau (l'outil aide à la décision, il ne pilote pas les équipements).</w:t>
      </w:r>
    </w:p>
    <w:p>
      <w:pPr>
        <w:pStyle w:val="ListParagraph"/>
        <w:numPr>
          <w:ilvl w:val="0"/>
          <w:numId w:val="2"/>
        </w:numPr>
        <w:spacing w:after="90" w:line="280"/>
      </w:pPr>
      <w:r>
        <w:rPr>
          <w:sz w:val="22"/>
          <w:szCs w:val="22"/>
        </w:rPr>
        <w:t xml:space="preserve">Un modèle Deep Learning de production à grande échelle (LSTM sur historique long) — présenté comme perspective d'évolution, avec justification argumentée dans le rapport.</w:t>
      </w:r>
    </w:p>
    <w:p>
      <w:r>
        <w:br w:type="page"/>
      </w:r>
    </w:p>
    <w:p>
      <w:pPr>
        <w:pStyle w:val="Heading1"/>
        <w:pBdr>
          <w:bottom w:val="single" w:color="2E74B5" w:sz="8" w:space="4"/>
        </w:pBdr>
        <w:spacing w:after="200" w:before="400"/>
      </w:pPr>
      <w:r>
        <w:rPr>
          <w:b/>
          <w:bCs/>
          <w:color w:val="1F3864"/>
          <w:sz w:val="30"/>
          <w:szCs w:val="30"/>
        </w:rPr>
        <w:t xml:space="preserve">4. </w:t>
      </w:r>
      <w:r>
        <w:rPr>
          <w:b/>
          <w:bCs/>
          <w:color w:val="1F3864"/>
          <w:sz w:val="30"/>
          <w:szCs w:val="30"/>
        </w:rPr>
        <w:t xml:space="preserve">Comment l'outil fonctionne (architecture globale)</w:t>
      </w:r>
    </w:p>
    <w:p>
      <w:pPr>
        <w:spacing w:after="160" w:line="300"/>
      </w:pPr>
      <w:r>
        <w:rPr>
          <w:sz w:val="22"/>
          <w:szCs w:val="22"/>
        </w:rPr>
        <w:t xml:space="preserve">Le projet repose sur quatre grandes étapes qui s'enchaînent comme une chaîne de production. Les trois premières concernent la donnée et sa visualisation ; la quatrième ajoute une couche d'intelligence artificielle par-dessus.</w:t>
      </w:r>
    </w:p>
    <w:p>
      <w:pPr>
        <w:pStyle w:val="Heading2"/>
        <w:spacing w:after="120" w:before="260"/>
      </w:pPr>
      <w:r>
        <w:rPr>
          <w:b/>
          <w:bCs/>
          <w:color w:val="2E74B5"/>
          <w:sz w:val="24"/>
          <w:szCs w:val="24"/>
        </w:rPr>
        <w:t xml:space="preserve">4.1 Vue d'ensemble en 4 étapes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700"/>
        <w:gridCol w:w="20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Étape</w:t>
            </w:r>
          </w:p>
        </w:tc>
        <w:tc>
          <w:tcPr>
            <w:tcW w:type="dxa" w:w="4700"/>
            <w:shd w:fill="1F3864" w:val="clear"/>
            <w:tcMar>
              <w:top w:type="dxa" w:w="100"/>
              <w:left w:type="dxa" w:w="120"/>
              <w:bottom w:type="dxa" w:w="100"/>
              <w:right w:type="dxa" w:w="120"/>
            </w:tcMar>
            <w:vAlign w:val="center"/>
          </w:tcPr>
          <w:p>
            <w:r>
              <w:rPr>
                <w:b/>
                <w:bCs/>
                <w:color w:val="FFFFFF"/>
                <w:sz w:val="20"/>
                <w:szCs w:val="20"/>
              </w:rPr>
              <w:t xml:space="preserve">Rôle</w:t>
            </w:r>
          </w:p>
        </w:tc>
        <w:tc>
          <w:tcPr>
            <w:tcW w:type="dxa" w:w="2050"/>
            <w:shd w:fill="1F3864" w:val="clear"/>
            <w:tcMar>
              <w:top w:type="dxa" w:w="100"/>
              <w:left w:type="dxa" w:w="120"/>
              <w:bottom w:type="dxa" w:w="100"/>
              <w:right w:type="dxa" w:w="120"/>
            </w:tcMar>
            <w:vAlign w:val="center"/>
          </w:tcPr>
          <w:p>
            <w:r>
              <w:rPr>
                <w:b/>
                <w:bCs/>
                <w:color w:val="FFFFFF"/>
                <w:sz w:val="20"/>
                <w:szCs w:val="20"/>
              </w:rPr>
              <w:t xml:space="preserve">Outil utilisé</w:t>
            </w:r>
          </w:p>
        </w:tc>
      </w:tr>
      <w:tr>
        <w:tc>
          <w:tcPr>
            <w:tcW w:type="dxa" w:w="2600"/>
            <w:shd w:fill="FFFFFF" w:val="clear"/>
            <w:tcMar>
              <w:top w:type="dxa" w:w="90"/>
              <w:left w:type="dxa" w:w="120"/>
              <w:bottom w:type="dxa" w:w="90"/>
              <w:right w:type="dxa" w:w="120"/>
            </w:tcMar>
            <w:vAlign w:val="center"/>
          </w:tcPr>
          <w:p>
            <w:r>
              <w:rPr>
                <w:sz w:val="20"/>
                <w:szCs w:val="20"/>
              </w:rPr>
              <w:t xml:space="preserve">1. Collecte &amp; nettoyage</w:t>
            </w:r>
          </w:p>
        </w:tc>
        <w:tc>
          <w:tcPr>
            <w:tcW w:type="dxa" w:w="4700"/>
            <w:shd w:fill="FFFFFF" w:val="clear"/>
            <w:tcMar>
              <w:top w:type="dxa" w:w="90"/>
              <w:left w:type="dxa" w:w="120"/>
              <w:bottom w:type="dxa" w:w="90"/>
              <w:right w:type="dxa" w:w="120"/>
            </w:tcMar>
            <w:vAlign w:val="center"/>
          </w:tcPr>
          <w:p>
            <w:r>
              <w:rPr>
                <w:sz w:val="20"/>
                <w:szCs w:val="20"/>
              </w:rPr>
              <w:t xml:space="preserve">Récupérer les fichiers de mesures de toutes les régions et corriger les erreurs (valeurs manquantes, doublons, formats incohérents).</w:t>
            </w:r>
          </w:p>
        </w:tc>
        <w:tc>
          <w:tcPr>
            <w:tcW w:type="dxa" w:w="2050"/>
            <w:shd w:fill="FFFFFF" w:val="clear"/>
            <w:tcMar>
              <w:top w:type="dxa" w:w="90"/>
              <w:left w:type="dxa" w:w="120"/>
              <w:bottom w:type="dxa" w:w="90"/>
              <w:right w:type="dxa" w:w="120"/>
            </w:tcMar>
            <w:vAlign w:val="center"/>
          </w:tcPr>
          <w:p>
            <w:r>
              <w:rPr>
                <w:sz w:val="20"/>
                <w:szCs w:val="20"/>
              </w:rPr>
              <w:t xml:space="preserve">Python</w:t>
            </w:r>
          </w:p>
        </w:tc>
      </w:tr>
      <w:tr>
        <w:tc>
          <w:tcPr>
            <w:tcW w:type="dxa" w:w="2600"/>
            <w:shd w:fill="F2F2F2" w:val="clear"/>
            <w:tcMar>
              <w:top w:type="dxa" w:w="90"/>
              <w:left w:type="dxa" w:w="120"/>
              <w:bottom w:type="dxa" w:w="90"/>
              <w:right w:type="dxa" w:w="120"/>
            </w:tcMar>
            <w:vAlign w:val="center"/>
          </w:tcPr>
          <w:p>
            <w:r>
              <w:rPr>
                <w:sz w:val="20"/>
                <w:szCs w:val="20"/>
              </w:rPr>
              <w:t xml:space="preserve">2. Stockage organisé</w:t>
            </w:r>
          </w:p>
        </w:tc>
        <w:tc>
          <w:tcPr>
            <w:tcW w:type="dxa" w:w="4700"/>
            <w:shd w:fill="F2F2F2" w:val="clear"/>
            <w:tcMar>
              <w:top w:type="dxa" w:w="90"/>
              <w:left w:type="dxa" w:w="120"/>
              <w:bottom w:type="dxa" w:w="90"/>
              <w:right w:type="dxa" w:w="120"/>
            </w:tcMar>
            <w:vAlign w:val="center"/>
          </w:tcPr>
          <w:p>
            <w:r>
              <w:rPr>
                <w:sz w:val="20"/>
                <w:szCs w:val="20"/>
              </w:rPr>
              <w:t xml:space="preserve">Ranger les données nettoyées dans une base de données structurée à l'échelle nationale, prête à être interrogée rapidement.</w:t>
            </w:r>
          </w:p>
        </w:tc>
        <w:tc>
          <w:tcPr>
            <w:tcW w:type="dxa" w:w="2050"/>
            <w:shd w:fill="F2F2F2" w:val="clear"/>
            <w:tcMar>
              <w:top w:type="dxa" w:w="90"/>
              <w:left w:type="dxa" w:w="120"/>
              <w:bottom w:type="dxa" w:w="90"/>
              <w:right w:type="dxa" w:w="120"/>
            </w:tcMar>
            <w:vAlign w:val="center"/>
          </w:tcPr>
          <w:p>
            <w:r>
              <w:rPr>
                <w:sz w:val="20"/>
                <w:szCs w:val="20"/>
              </w:rPr>
              <w:t xml:space="preserve">SQL Server</w:t>
            </w:r>
          </w:p>
        </w:tc>
      </w:tr>
      <w:tr>
        <w:tc>
          <w:tcPr>
            <w:tcW w:type="dxa" w:w="2600"/>
            <w:shd w:fill="FFFFFF" w:val="clear"/>
            <w:tcMar>
              <w:top w:type="dxa" w:w="90"/>
              <w:left w:type="dxa" w:w="120"/>
              <w:bottom w:type="dxa" w:w="90"/>
              <w:right w:type="dxa" w:w="120"/>
            </w:tcMar>
            <w:vAlign w:val="center"/>
          </w:tcPr>
          <w:p>
            <w:r>
              <w:rPr>
                <w:sz w:val="20"/>
                <w:szCs w:val="20"/>
              </w:rPr>
              <w:t xml:space="preserve">3. Visualisation</w:t>
            </w:r>
          </w:p>
        </w:tc>
        <w:tc>
          <w:tcPr>
            <w:tcW w:type="dxa" w:w="4700"/>
            <w:shd w:fill="FFFFFF" w:val="clear"/>
            <w:tcMar>
              <w:top w:type="dxa" w:w="90"/>
              <w:left w:type="dxa" w:w="120"/>
              <w:bottom w:type="dxa" w:w="90"/>
              <w:right w:type="dxa" w:w="120"/>
            </w:tcMar>
            <w:vAlign w:val="center"/>
          </w:tcPr>
          <w:p>
            <w:r>
              <w:rPr>
                <w:sz w:val="20"/>
                <w:szCs w:val="20"/>
              </w:rPr>
              <w:t xml:space="preserve">Transformer les données en carte nationale, graphiques et indicateurs compréhensibles.</w:t>
            </w:r>
          </w:p>
        </w:tc>
        <w:tc>
          <w:tcPr>
            <w:tcW w:type="dxa" w:w="2050"/>
            <w:shd w:fill="FFFFFF" w:val="clear"/>
            <w:tcMar>
              <w:top w:type="dxa" w:w="90"/>
              <w:left w:type="dxa" w:w="120"/>
              <w:bottom w:type="dxa" w:w="90"/>
              <w:right w:type="dxa" w:w="120"/>
            </w:tcMar>
            <w:vAlign w:val="center"/>
          </w:tcPr>
          <w:p>
            <w:r>
              <w:rPr>
                <w:sz w:val="20"/>
                <w:szCs w:val="20"/>
              </w:rPr>
              <w:t xml:space="preserve">Power BI</w:t>
            </w:r>
          </w:p>
        </w:tc>
      </w:tr>
      <w:tr>
        <w:tc>
          <w:tcPr>
            <w:tcW w:type="dxa" w:w="2600"/>
            <w:shd w:fill="F2F2F2" w:val="clear"/>
            <w:tcMar>
              <w:top w:type="dxa" w:w="90"/>
              <w:left w:type="dxa" w:w="120"/>
              <w:bottom w:type="dxa" w:w="90"/>
              <w:right w:type="dxa" w:w="120"/>
            </w:tcMar>
            <w:vAlign w:val="center"/>
          </w:tcPr>
          <w:p>
            <w:r>
              <w:rPr>
                <w:sz w:val="20"/>
                <w:szCs w:val="20"/>
              </w:rPr>
              <w:t xml:space="preserve">4. Intelligence Artificielle</w:t>
            </w:r>
          </w:p>
        </w:tc>
        <w:tc>
          <w:tcPr>
            <w:tcW w:type="dxa" w:w="4700"/>
            <w:shd w:fill="F2F2F2" w:val="clear"/>
            <w:tcMar>
              <w:top w:type="dxa" w:w="90"/>
              <w:left w:type="dxa" w:w="120"/>
              <w:bottom w:type="dxa" w:w="90"/>
              <w:right w:type="dxa" w:w="120"/>
            </w:tcMar>
            <w:vAlign w:val="center"/>
          </w:tcPr>
          <w:p>
            <w:r>
              <w:rPr>
                <w:sz w:val="20"/>
                <w:szCs w:val="20"/>
              </w:rPr>
              <w:t xml:space="preserve">Prédire la qualité réseau et détecter automatiquement les zones à risque, à partir de l'historique des mesures.</w:t>
            </w:r>
          </w:p>
        </w:tc>
        <w:tc>
          <w:tcPr>
            <w:tcW w:type="dxa" w:w="2050"/>
            <w:shd w:fill="F2F2F2" w:val="clear"/>
            <w:tcMar>
              <w:top w:type="dxa" w:w="90"/>
              <w:left w:type="dxa" w:w="120"/>
              <w:bottom w:type="dxa" w:w="90"/>
              <w:right w:type="dxa" w:w="120"/>
            </w:tcMar>
            <w:vAlign w:val="center"/>
          </w:tcPr>
          <w:p>
            <w:r>
              <w:rPr>
                <w:sz w:val="20"/>
                <w:szCs w:val="20"/>
              </w:rPr>
              <w:t xml:space="preserve">Python (scikit-learn, Keras)</w:t>
            </w:r>
          </w:p>
        </w:tc>
      </w:tr>
    </w:tbl>
    <w:p>
      <w:pPr>
        <w:spacing w:after="200"/>
      </w:pPr>
    </w:p>
    <w:p>
      <w:pPr>
        <w:pStyle w:val="Heading2"/>
        <w:spacing w:after="120" w:before="260"/>
      </w:pPr>
      <w:r>
        <w:rPr>
          <w:b/>
          <w:bCs/>
          <w:color w:val="2E74B5"/>
          <w:sz w:val="24"/>
          <w:szCs w:val="24"/>
        </w:rPr>
        <w:t xml:space="preserve">4.2 Détail des trois premières étapes (Data Engineering &amp; BI)</w:t>
      </w:r>
    </w:p>
    <w:p>
      <w:pPr>
        <w:spacing w:after="160" w:line="300"/>
      </w:pPr>
      <w:r>
        <w:rPr>
          <w:sz w:val="22"/>
          <w:szCs w:val="22"/>
        </w:rPr>
        <w:t xml:space="preserve">Étape 1 — Collecte et nettoyage (Python) : les fichiers de mesures, provenant de différentes régions, sont lus automatiquement. Le script vérifie la cohérence des données, harmonise les formats entre régions, et calcule des indicateurs de base (moyennes, taux de coupure) par zone.</w:t>
      </w:r>
    </w:p>
    <w:p>
      <w:pPr>
        <w:spacing w:after="160" w:line="300"/>
      </w:pPr>
      <w:r>
        <w:rPr>
          <w:sz w:val="22"/>
          <w:szCs w:val="22"/>
        </w:rPr>
        <w:t xml:space="preserve">Étape 2 — Stockage (SQL Server) : les données nettoyées sont enregistrées dans une base de données structurée en plusieurs tables reliées : mesures, zones géographiques (avec la région comme niveau supérieur à la ville), seuils de référence, et résultats des modèles d'IA. Cette organisation permet d'interroger rapidement de gros volumes de données, région par région ou à l'échelle nationale.</w:t>
      </w:r>
    </w:p>
    <w:p>
      <w:pPr>
        <w:spacing w:after="160" w:line="300"/>
      </w:pPr>
      <w:r>
        <w:rPr>
          <w:sz w:val="22"/>
          <w:szCs w:val="22"/>
        </w:rPr>
        <w:t xml:space="preserve">Étape 3 — Visualisation (Power BI) : Power BI se connecte à la base de données et affiche une carte nationale interactive, avec la possibilité de "zoomer" d'une vue Maroc entier vers une région, puis vers une ville précise. Les graphiques et indicateurs se filtrent dynamiquement.</w:t>
      </w:r>
    </w:p>
    <w:p>
      <w:pPr>
        <w:pStyle w:val="Heading2"/>
        <w:spacing w:after="120" w:before="260"/>
      </w:pPr>
      <w:r>
        <w:rPr>
          <w:b/>
          <w:bCs/>
          <w:color w:val="2E74B5"/>
          <w:sz w:val="24"/>
          <w:szCs w:val="24"/>
        </w:rPr>
        <w:t xml:space="preserve">4.3 Détail de l'étape 4 : le volet Intelligence Artificielle</w:t>
      </w:r>
    </w:p>
    <w:p>
      <w:pPr>
        <w:spacing w:after="160" w:line="300"/>
      </w:pPr>
      <w:r>
        <w:rPr>
          <w:sz w:val="22"/>
          <w:szCs w:val="22"/>
        </w:rPr>
        <w:t xml:space="preserve">C'est la partie qui distingue ce projet d'un simple tableau de bord : au lieu de seulement montrer ce qui a été mesuré, l'outil apprend des mesures passées pour anticiper et détecter automatiquement des situations, y compris là où il n'y a pas eu de mesure récente.</w:t>
      </w:r>
    </w:p>
    <w:p>
      <w:pPr>
        <w:spacing w:after="100" w:before="180"/>
      </w:pPr>
      <w:r>
        <w:rPr>
          <w:b/>
          <w:bCs/>
          <w:i/>
          <w:iCs/>
          <w:color w:val="0E7C7B"/>
          <w:sz w:val="22"/>
          <w:szCs w:val="22"/>
        </w:rPr>
        <w:t xml:space="preserve">Module A — Prédiction de la qualité réseau (Machine Learning)</w:t>
      </w:r>
    </w:p>
    <w:p>
      <w:pPr>
        <w:spacing w:after="130" w:line="280"/>
        <w:ind w:left="260"/>
      </w:pPr>
      <w:r>
        <w:rPr>
          <w:b/>
          <w:bCs/>
          <w:color w:val="0E7C7B"/>
          <w:sz w:val="22"/>
          <w:szCs w:val="22"/>
        </w:rPr>
        <w:t xml:space="preserve">Étape 1 — </w:t>
      </w:r>
      <w:r>
        <w:rPr>
          <w:b/>
          <w:bCs/>
          <w:sz w:val="22"/>
          <w:szCs w:val="22"/>
        </w:rPr>
        <w:t xml:space="preserve">Collecte des exemples : </w:t>
      </w:r>
      <w:r>
        <w:rPr>
          <w:sz w:val="22"/>
          <w:szCs w:val="22"/>
        </w:rPr>
        <w:t xml:space="preserve">on rassemble les mesures passées : région, ville, technologie, heure, type de zone (urbain/rural), avec le débit et le signal réellement mesurés.</w:t>
      </w:r>
    </w:p>
    <w:p>
      <w:pPr>
        <w:spacing w:after="130" w:line="280"/>
        <w:ind w:left="260"/>
      </w:pPr>
      <w:r>
        <w:rPr>
          <w:b/>
          <w:bCs/>
          <w:color w:val="0E7C7B"/>
          <w:sz w:val="22"/>
          <w:szCs w:val="22"/>
        </w:rPr>
        <w:t xml:space="preserve">Étape 2 — </w:t>
      </w:r>
      <w:r>
        <w:rPr>
          <w:b/>
          <w:bCs/>
          <w:sz w:val="22"/>
          <w:szCs w:val="22"/>
        </w:rPr>
        <w:t xml:space="preserve">Entraînement du modèle : </w:t>
      </w:r>
      <w:r>
        <w:rPr>
          <w:sz w:val="22"/>
          <w:szCs w:val="22"/>
        </w:rPr>
        <w:t xml:space="preserve">un algorithme de Machine Learning (Random Forest) analyse ces milliers d'exemples et apprend la relation entre les conditions (ville, techno, heure...) et le résultat (débit, signal).</w:t>
      </w:r>
    </w:p>
    <w:p>
      <w:pPr>
        <w:spacing w:after="130" w:line="280"/>
        <w:ind w:left="260"/>
      </w:pPr>
      <w:r>
        <w:rPr>
          <w:b/>
          <w:bCs/>
          <w:color w:val="0E7C7B"/>
          <w:sz w:val="22"/>
          <w:szCs w:val="22"/>
        </w:rPr>
        <w:t xml:space="preserve">Étape 3 — </w:t>
      </w:r>
      <w:r>
        <w:rPr>
          <w:b/>
          <w:bCs/>
          <w:sz w:val="22"/>
          <w:szCs w:val="22"/>
        </w:rPr>
        <w:t xml:space="preserve">Prédiction : </w:t>
      </w:r>
      <w:r>
        <w:rPr>
          <w:sz w:val="22"/>
          <w:szCs w:val="22"/>
        </w:rPr>
        <w:t xml:space="preserve">pour une nouvelle situation jamais mesurée directement, le modèle propose une estimation réaliste du débit et du signal attendus.</w:t>
      </w:r>
    </w:p>
    <w:p>
      <w:pPr>
        <w:spacing w:after="130" w:line="280"/>
        <w:ind w:left="260"/>
      </w:pPr>
      <w:r>
        <w:rPr>
          <w:b/>
          <w:bCs/>
          <w:color w:val="0E7C7B"/>
          <w:sz w:val="22"/>
          <w:szCs w:val="22"/>
        </w:rPr>
        <w:t xml:space="preserve">Étape 4 — </w:t>
      </w:r>
      <w:r>
        <w:rPr>
          <w:b/>
          <w:bCs/>
          <w:sz w:val="22"/>
          <w:szCs w:val="22"/>
        </w:rPr>
        <w:t xml:space="preserve">Utilité : </w:t>
      </w:r>
      <w:r>
        <w:rPr>
          <w:sz w:val="22"/>
          <w:szCs w:val="22"/>
        </w:rPr>
        <w:t xml:space="preserve">obtenir une estimation de la qualité réseau partout sur le territoire, même entre deux campagnes de mesure.</w:t>
      </w:r>
    </w:p>
    <w:p>
      <w:pPr>
        <w:spacing w:after="100" w:before="180"/>
      </w:pPr>
      <w:r>
        <w:rPr>
          <w:b/>
          <w:bCs/>
          <w:i/>
          <w:iCs/>
          <w:color w:val="0E7C7B"/>
          <w:sz w:val="22"/>
          <w:szCs w:val="22"/>
        </w:rPr>
        <w:t xml:space="preserve">Module B — Détection automatique des zones à risque</w:t>
      </w:r>
    </w:p>
    <w:p>
      <w:pPr>
        <w:spacing w:after="130" w:line="280"/>
        <w:ind w:left="260"/>
      </w:pPr>
      <w:r>
        <w:rPr>
          <w:b/>
          <w:bCs/>
          <w:color w:val="0E7C7B"/>
          <w:sz w:val="22"/>
          <w:szCs w:val="22"/>
        </w:rPr>
        <w:t xml:space="preserve">Étape 1 — </w:t>
      </w:r>
      <w:r>
        <w:rPr>
          <w:b/>
          <w:bCs/>
          <w:sz w:val="22"/>
          <w:szCs w:val="22"/>
        </w:rPr>
        <w:t xml:space="preserve">Apprentissage du "normal" : </w:t>
      </w:r>
      <w:r>
        <w:rPr>
          <w:sz w:val="22"/>
          <w:szCs w:val="22"/>
        </w:rPr>
        <w:t xml:space="preserve">le modèle observe les mesures habituelles de chaque zone et apprend ce qui est considéré comme normal pour cette zone précise (une zone rurale n'a pas le même "normal" qu'une zone urbaine).</w:t>
      </w:r>
    </w:p>
    <w:p>
      <w:pPr>
        <w:spacing w:after="130" w:line="280"/>
        <w:ind w:left="260"/>
      </w:pPr>
      <w:r>
        <w:rPr>
          <w:b/>
          <w:bCs/>
          <w:color w:val="0E7C7B"/>
          <w:sz w:val="22"/>
          <w:szCs w:val="22"/>
        </w:rPr>
        <w:t xml:space="preserve">Étape 2 — </w:t>
      </w:r>
      <w:r>
        <w:rPr>
          <w:b/>
          <w:bCs/>
          <w:sz w:val="22"/>
          <w:szCs w:val="22"/>
        </w:rPr>
        <w:t xml:space="preserve">Comparaison : </w:t>
      </w:r>
      <w:r>
        <w:rPr>
          <w:sz w:val="22"/>
          <w:szCs w:val="22"/>
        </w:rPr>
        <w:t xml:space="preserve">chaque nouvelle mesure est comparée à ce "normal" appris.</w:t>
      </w:r>
    </w:p>
    <w:p>
      <w:pPr>
        <w:spacing w:after="130" w:line="280"/>
        <w:ind w:left="260"/>
      </w:pPr>
      <w:r>
        <w:rPr>
          <w:b/>
          <w:bCs/>
          <w:color w:val="0E7C7B"/>
          <w:sz w:val="22"/>
          <w:szCs w:val="22"/>
        </w:rPr>
        <w:t xml:space="preserve">Étape 3 — </w:t>
      </w:r>
      <w:r>
        <w:rPr>
          <w:b/>
          <w:bCs/>
          <w:sz w:val="22"/>
          <w:szCs w:val="22"/>
        </w:rPr>
        <w:t xml:space="preserve">Alerte automatique : </w:t>
      </w:r>
      <w:r>
        <w:rPr>
          <w:sz w:val="22"/>
          <w:szCs w:val="22"/>
        </w:rPr>
        <w:t xml:space="preserve">si une mesure s'écarte fortement de l'habitude (ex : débit anormalement bas), elle est signalée comme anomalie à vérifier en priorité.</w:t>
      </w:r>
    </w:p>
    <w:p>
      <w:pPr>
        <w:spacing w:after="130" w:line="280"/>
        <w:ind w:left="260"/>
      </w:pPr>
      <w:r>
        <w:rPr>
          <w:b/>
          <w:bCs/>
          <w:color w:val="0E7C7B"/>
          <w:sz w:val="22"/>
          <w:szCs w:val="22"/>
        </w:rPr>
        <w:t xml:space="preserve">Étape 4 — </w:t>
      </w:r>
      <w:r>
        <w:rPr>
          <w:b/>
          <w:bCs/>
          <w:sz w:val="22"/>
          <w:szCs w:val="22"/>
        </w:rPr>
        <w:t xml:space="preserve">Utilité : </w:t>
      </w:r>
      <w:r>
        <w:rPr>
          <w:sz w:val="22"/>
          <w:szCs w:val="22"/>
        </w:rPr>
        <w:t xml:space="preserve">les équipes techniques reçoivent une liste priorisée de zones suspectes, sans devoir tout vérifier manuellement ni fixer de seuils arbitraires.</w:t>
      </w:r>
    </w:p>
    <w:p>
      <w:pPr>
        <w:spacing w:after="100" w:before="180"/>
      </w:pPr>
      <w:r>
        <w:rPr>
          <w:b/>
          <w:bCs/>
          <w:i/>
          <w:iCs/>
          <w:color w:val="0E7C7B"/>
          <w:sz w:val="22"/>
          <w:szCs w:val="22"/>
        </w:rPr>
        <w:t xml:space="preserve">Module C — Regroupement automatique des zones (optionnel)</w:t>
      </w:r>
    </w:p>
    <w:p>
      <w:pPr>
        <w:spacing w:after="130" w:line="280"/>
        <w:ind w:left="260"/>
      </w:pPr>
      <w:r>
        <w:rPr>
          <w:b/>
          <w:bCs/>
          <w:color w:val="0E7C7B"/>
          <w:sz w:val="22"/>
          <w:szCs w:val="22"/>
        </w:rPr>
        <w:t xml:space="preserve">Étape 1 — </w:t>
      </w:r>
      <w:r>
        <w:rPr>
          <w:b/>
          <w:bCs/>
          <w:sz w:val="22"/>
          <w:szCs w:val="22"/>
        </w:rPr>
        <w:t xml:space="preserve">Analyse des profils : </w:t>
      </w:r>
      <w:r>
        <w:rPr>
          <w:sz w:val="22"/>
          <w:szCs w:val="22"/>
        </w:rPr>
        <w:t xml:space="preserve">le modèle regarde les caractéristiques de chaque ville (débit moyen, stabilité, taux de coupure).</w:t>
      </w:r>
    </w:p>
    <w:p>
      <w:pPr>
        <w:spacing w:after="130" w:line="280"/>
        <w:ind w:left="260"/>
      </w:pPr>
      <w:r>
        <w:rPr>
          <w:b/>
          <w:bCs/>
          <w:color w:val="0E7C7B"/>
          <w:sz w:val="22"/>
          <w:szCs w:val="22"/>
        </w:rPr>
        <w:t xml:space="preserve">Étape 2 — </w:t>
      </w:r>
      <w:r>
        <w:rPr>
          <w:b/>
          <w:bCs/>
          <w:sz w:val="22"/>
          <w:szCs w:val="22"/>
        </w:rPr>
        <w:t xml:space="preserve">Création de groupes : </w:t>
      </w:r>
      <w:r>
        <w:rPr>
          <w:sz w:val="22"/>
          <w:szCs w:val="22"/>
        </w:rPr>
        <w:t xml:space="preserve">il classe automatiquement les villes en catégories similaires (ex : bonne couverture stable / couverture correcte mais instable / couverture faible à surveiller).</w:t>
      </w:r>
    </w:p>
    <w:p>
      <w:pPr>
        <w:spacing w:after="130" w:line="280"/>
        <w:ind w:left="260"/>
      </w:pPr>
      <w:r>
        <w:rPr>
          <w:b/>
          <w:bCs/>
          <w:color w:val="0E7C7B"/>
          <w:sz w:val="22"/>
          <w:szCs w:val="22"/>
        </w:rPr>
        <w:t xml:space="preserve">Étape 3 — </w:t>
      </w:r>
      <w:r>
        <w:rPr>
          <w:b/>
          <w:bCs/>
          <w:sz w:val="22"/>
          <w:szCs w:val="22"/>
        </w:rPr>
        <w:t xml:space="preserve">Utilité : </w:t>
      </w:r>
      <w:r>
        <w:rPr>
          <w:sz w:val="22"/>
          <w:szCs w:val="22"/>
        </w:rPr>
        <w:t xml:space="preserve">prioriser les investissements réseau par catégorie de zones plutôt que ville par ville.</w:t>
      </w:r>
    </w:p>
    <w:p>
      <w:pPr>
        <w:spacing w:after="100" w:before="180"/>
      </w:pPr>
      <w:r>
        <w:rPr>
          <w:b/>
          <w:bCs/>
          <w:i/>
          <w:iCs/>
          <w:color w:val="1F3864"/>
          <w:sz w:val="22"/>
          <w:szCs w:val="22"/>
        </w:rPr>
        <w:t xml:space="preserve">Module D — Exploration du Deep Learning (volet comparatif)</w:t>
      </w:r>
    </w:p>
    <w:p>
      <w:pPr>
        <w:spacing w:after="160" w:line="300"/>
      </w:pPr>
      <w:r>
        <w:rPr>
          <w:sz w:val="22"/>
          <w:szCs w:val="22"/>
        </w:rPr>
        <w:t xml:space="preserve">En complément du Machine Learning classique, une partie du projet explore l'apport potentiel du Deep Learning, dans un objectif d'analyse comparative rigoureuse plutôt que de remplacement pur et simple.</w:t>
      </w:r>
    </w:p>
    <w:p>
      <w:pPr>
        <w:spacing w:after="130" w:line="280"/>
        <w:ind w:left="260"/>
      </w:pPr>
      <w:r>
        <w:rPr>
          <w:b/>
          <w:bCs/>
          <w:color w:val="0E7C7B"/>
          <w:sz w:val="22"/>
          <w:szCs w:val="22"/>
        </w:rPr>
        <w:t xml:space="preserve">Étape 1 — </w:t>
      </w:r>
      <w:r>
        <w:rPr>
          <w:b/>
          <w:bCs/>
          <w:sz w:val="22"/>
          <w:szCs w:val="22"/>
        </w:rPr>
        <w:t xml:space="preserve">Construction d'un petit réseau de neurones : </w:t>
      </w:r>
      <w:r>
        <w:rPr>
          <w:sz w:val="22"/>
          <w:szCs w:val="22"/>
        </w:rPr>
        <w:t xml:space="preserve">sur la même tâche que le Module A (prédire le débit/signal), afin de comparer les deux approches sur les mêmes données.</w:t>
      </w:r>
    </w:p>
    <w:p>
      <w:pPr>
        <w:spacing w:after="130" w:line="280"/>
        <w:ind w:left="260"/>
      </w:pPr>
      <w:r>
        <w:rPr>
          <w:b/>
          <w:bCs/>
          <w:color w:val="0E7C7B"/>
          <w:sz w:val="22"/>
          <w:szCs w:val="22"/>
        </w:rPr>
        <w:t xml:space="preserve">Étape 2 — </w:t>
      </w:r>
      <w:r>
        <w:rPr>
          <w:b/>
          <w:bCs/>
          <w:sz w:val="22"/>
          <w:szCs w:val="22"/>
        </w:rPr>
        <w:t xml:space="preserve">Comparaison objective : </w:t>
      </w:r>
      <w:r>
        <w:rPr>
          <w:sz w:val="22"/>
          <w:szCs w:val="22"/>
        </w:rPr>
        <w:t xml:space="preserve">les résultats du réseau de neurones sont comparés à ceux du modèle de Machine Learning classique (précision de la prédiction).</w:t>
      </w:r>
    </w:p>
    <w:p>
      <w:pPr>
        <w:spacing w:after="130" w:line="280"/>
        <w:ind w:left="260"/>
      </w:pPr>
      <w:r>
        <w:rPr>
          <w:b/>
          <w:bCs/>
          <w:color w:val="0E7C7B"/>
          <w:sz w:val="22"/>
          <w:szCs w:val="22"/>
        </w:rPr>
        <w:t xml:space="preserve">Étape 3 — </w:t>
      </w:r>
      <w:r>
        <w:rPr>
          <w:b/>
          <w:bCs/>
          <w:sz w:val="22"/>
          <w:szCs w:val="22"/>
        </w:rPr>
        <w:t xml:space="preserve">Analyse critique : </w:t>
      </w:r>
      <w:r>
        <w:rPr>
          <w:sz w:val="22"/>
          <w:szCs w:val="22"/>
        </w:rPr>
        <w:t xml:space="preserve">le rapport explique, avec des chiffres à l'appui, si le Deep Learning apporte un avantage réel ou non compte tenu du volume de données disponible — ce qui constitue en soi un résultat intéressant, indépendamment du sens de la conclusion.</w:t>
      </w:r>
    </w:p>
    <w:p>
      <w:pPr>
        <w:spacing w:after="130" w:line="280"/>
        <w:ind w:left="260"/>
      </w:pPr>
      <w:r>
        <w:rPr>
          <w:b/>
          <w:bCs/>
          <w:color w:val="0E7C7B"/>
          <w:sz w:val="22"/>
          <w:szCs w:val="22"/>
        </w:rPr>
        <w:t xml:space="preserve">Étape 4 — </w:t>
      </w:r>
      <w:r>
        <w:rPr>
          <w:b/>
          <w:bCs/>
          <w:sz w:val="22"/>
          <w:szCs w:val="22"/>
        </w:rPr>
        <w:t xml:space="preserve">Perspective d'évolution : </w:t>
      </w:r>
      <w:r>
        <w:rPr>
          <w:sz w:val="22"/>
          <w:szCs w:val="22"/>
        </w:rPr>
        <w:t xml:space="preserve">une piste plus avancée (LSTM pour anticiper l'évolution dans le temps, à partir d'un historique de plusieurs mois) est présentée comme prolongement possible du projet, si davantage de données historiques deviennent disponibles.</w:t>
      </w:r>
    </w:p>
    <w:tbl>
      <w:tblPr>
        <w:tblW w:type="dxa" w:w="9350"/>
        <w:tblBorders>
          <w:top w:val="single" w:color="0E7C7B" w:sz="4"/>
          <w:left w:val="single" w:color="0E7C7B" w:sz="4"/>
          <w:bottom w:val="single" w:color="0E7C7B" w:sz="4"/>
          <w:right w:val="single" w:color="0E7C7B" w:sz="4"/>
          <w:insideH w:val="none"/>
          <w:insideV w:val="none"/>
        </w:tblBorders>
      </w:tblPr>
      <w:tblGrid>
        <w:gridCol w:w="100"/>
      </w:tblGrid>
      <w:tr>
        <w:tc>
          <w:tcPr>
            <w:tcW w:type="dxa" w:w="9350"/>
            <w:shd w:fill="E2F1F1" w:val="clear"/>
            <w:tcMar>
              <w:top w:type="dxa" w:w="160"/>
              <w:left w:type="dxa" w:w="200"/>
              <w:bottom w:type="dxa" w:w="160"/>
              <w:right w:type="dxa" w:w="200"/>
            </w:tcMar>
          </w:tcPr>
          <w:p>
            <w:pPr>
              <w:spacing w:after="100"/>
            </w:pPr>
            <w:r>
              <w:rPr>
                <w:b/>
                <w:bCs/>
                <w:color w:val="1F3864"/>
                <w:sz w:val="22"/>
                <w:szCs w:val="22"/>
              </w:rPr>
              <w:t xml:space="preserve">Pourquoi présenter le Deep Learning ainsi plutôt que l'imposer comme solution finale</w:t>
            </w:r>
          </w:p>
          <w:p>
            <w:pPr>
              <w:spacing w:after="60" w:line="270"/>
            </w:pPr>
            <w:r>
              <w:rPr>
                <w:color w:val="333333"/>
                <w:sz w:val="21"/>
                <w:szCs w:val="21"/>
              </w:rPr>
              <w:t xml:space="preserve">• Le Deep Learning a besoin de très grands volumes de données pour surpasser le Machine Learning classique.</w:t>
            </w:r>
          </w:p>
          <w:p>
            <w:pPr>
              <w:spacing w:after="60" w:line="270"/>
            </w:pPr>
            <w:r>
              <w:rPr>
                <w:color w:val="333333"/>
                <w:sz w:val="21"/>
                <w:szCs w:val="21"/>
              </w:rPr>
              <w:t xml:space="preserve">• Avec les données disponibles pour ce PFA, une comparaison honnête et argumentée a plus de valeur scientifique qu'une utilisation forcée du Deep Learning.</w:t>
            </w:r>
          </w:p>
          <w:p>
            <w:pPr>
              <w:spacing w:after="60" w:line="270"/>
            </w:pPr>
            <w:r>
              <w:rPr>
                <w:color w:val="333333"/>
                <w:sz w:val="21"/>
                <w:szCs w:val="21"/>
              </w:rPr>
              <w:t xml:space="preserve">• Cette approche montre une maîtrise réelle des deux familles de méthodes, plutôt qu'un simple effet d'annonce.</w:t>
            </w:r>
          </w:p>
        </w:tc>
      </w:tr>
    </w:tbl>
    <w:p>
      <w:r>
        <w:br w:type="page"/>
      </w:r>
    </w:p>
    <w:p>
      <w:pPr>
        <w:pStyle w:val="Heading1"/>
        <w:pBdr>
          <w:bottom w:val="single" w:color="2E74B5" w:sz="8" w:space="4"/>
        </w:pBdr>
        <w:spacing w:after="200" w:before="400"/>
      </w:pPr>
      <w:r>
        <w:rPr>
          <w:b/>
          <w:bCs/>
          <w:color w:val="1F3864"/>
          <w:sz w:val="30"/>
          <w:szCs w:val="30"/>
        </w:rPr>
        <w:t xml:space="preserve">5. </w:t>
      </w:r>
      <w:r>
        <w:rPr>
          <w:b/>
          <w:bCs/>
          <w:color w:val="1F3864"/>
          <w:sz w:val="30"/>
          <w:szCs w:val="30"/>
        </w:rPr>
        <w:t xml:space="preserve">Les données utilisées — échelle nationale</w:t>
      </w:r>
    </w:p>
    <w:p>
      <w:pPr>
        <w:pStyle w:val="Heading2"/>
        <w:spacing w:after="120" w:before="260"/>
      </w:pPr>
      <w:r>
        <w:rPr>
          <w:b/>
          <w:bCs/>
          <w:color w:val="2E74B5"/>
          <w:sz w:val="24"/>
          <w:szCs w:val="24"/>
        </w:rPr>
        <w:t xml:space="preserve">5.1 Origine des données</w:t>
      </w:r>
    </w:p>
    <w:p>
      <w:pPr>
        <w:pStyle w:val="ListParagraph"/>
        <w:numPr>
          <w:ilvl w:val="0"/>
          <w:numId w:val="2"/>
        </w:numPr>
        <w:spacing w:after="90" w:line="280"/>
      </w:pPr>
      <w:r>
        <w:rPr>
          <w:b/>
          <w:bCs/>
          <w:sz w:val="22"/>
          <w:szCs w:val="22"/>
        </w:rPr>
        <w:t xml:space="preserve">Données réelles </w:t>
      </w:r>
      <w:r>
        <w:rPr>
          <w:sz w:val="22"/>
          <w:szCs w:val="22"/>
        </w:rPr>
        <w:t xml:space="preserve"> : exports de campagnes de benchmark réalisées par Maroc Telecom dans différentes régions du Royaume (sous réserve d'autorisation d'accès).</w:t>
      </w:r>
    </w:p>
    <w:p>
      <w:pPr>
        <w:pStyle w:val="ListParagraph"/>
        <w:numPr>
          <w:ilvl w:val="0"/>
          <w:numId w:val="2"/>
        </w:numPr>
        <w:spacing w:after="90" w:line="280"/>
      </w:pPr>
      <w:r>
        <w:rPr>
          <w:b/>
          <w:bCs/>
          <w:sz w:val="22"/>
          <w:szCs w:val="22"/>
        </w:rPr>
        <w:t xml:space="preserve">Données simulées </w:t>
      </w:r>
      <w:r>
        <w:rPr>
          <w:sz w:val="22"/>
          <w:szCs w:val="22"/>
        </w:rPr>
        <w:t xml:space="preserve"> : à défaut d'accès complet, un jeu de données réaliste est généré pour couvrir l'ensemble des régions du Maroc, avec les mêmes colonnes et les mêmes plages de valeurs que les outils professionnels (TEMS Investigation, Nemo Outdoor).</w:t>
      </w:r>
    </w:p>
    <w:p>
      <w:pPr>
        <w:pStyle w:val="Heading2"/>
        <w:spacing w:after="120" w:before="260"/>
      </w:pPr>
      <w:r>
        <w:rPr>
          <w:b/>
          <w:bCs/>
          <w:color w:val="2E74B5"/>
          <w:sz w:val="24"/>
          <w:szCs w:val="24"/>
        </w:rPr>
        <w:t xml:space="preserve">5.2 Élargissement à l'échelle nationale</w:t>
      </w:r>
    </w:p>
    <w:p>
      <w:pPr>
        <w:spacing w:after="160" w:line="300"/>
      </w:pPr>
      <w:r>
        <w:rPr>
          <w:sz w:val="22"/>
          <w:szCs w:val="22"/>
        </w:rPr>
        <w:t xml:space="preserve">Contrairement à une version limitée à une seule région, cette version couvre les principales villes des grandes régions du Maroc (parmi lesquelles Rabat-Salé-Kénitra, Casablanca-Settat, Marrakech-Safi, Fès-Meknès, Tanger-Tétouan-Al Hoceïma, l'Oriental, Souss-Massa, et d'autres régions du Royaume). Cet élargissement permet :</w:t>
      </w:r>
    </w:p>
    <w:p>
      <w:pPr>
        <w:pStyle w:val="ListParagraph"/>
        <w:numPr>
          <w:ilvl w:val="0"/>
          <w:numId w:val="2"/>
        </w:numPr>
        <w:spacing w:after="90" w:line="280"/>
      </w:pPr>
      <w:r>
        <w:rPr>
          <w:sz w:val="22"/>
          <w:szCs w:val="22"/>
        </w:rPr>
        <w:t xml:space="preserve">un volume de données nettement plus important, nécessaire pour que les modèles de Machine Learning et de Deep Learning soient pertinents ;</w:t>
      </w:r>
    </w:p>
    <w:p>
      <w:pPr>
        <w:pStyle w:val="ListParagraph"/>
        <w:numPr>
          <w:ilvl w:val="0"/>
          <w:numId w:val="2"/>
        </w:numPr>
        <w:spacing w:after="90" w:line="280"/>
      </w:pPr>
      <w:r>
        <w:rPr>
          <w:sz w:val="22"/>
          <w:szCs w:val="22"/>
        </w:rPr>
        <w:t xml:space="preserve">des comparaisons entre régions, utiles pour prioriser les investissements à l'échelle nationale ;</w:t>
      </w:r>
    </w:p>
    <w:p>
      <w:pPr>
        <w:pStyle w:val="ListParagraph"/>
        <w:numPr>
          <w:ilvl w:val="0"/>
          <w:numId w:val="2"/>
        </w:numPr>
        <w:spacing w:after="90" w:line="280"/>
      </w:pPr>
      <w:r>
        <w:rPr>
          <w:sz w:val="22"/>
          <w:szCs w:val="22"/>
        </w:rPr>
        <w:t xml:space="preserve">une base de données plus proche d'un cas d'usage réel d'entreprise, avec une structure pensée pour la montée en charge (indexation, organisation par région/ville).</w:t>
      </w:r>
    </w:p>
    <w:p>
      <w:pPr>
        <w:pStyle w:val="Heading2"/>
        <w:spacing w:after="120" w:before="260"/>
      </w:pPr>
      <w:r>
        <w:rPr>
          <w:b/>
          <w:bCs/>
          <w:color w:val="2E74B5"/>
          <w:sz w:val="24"/>
          <w:szCs w:val="24"/>
        </w:rPr>
        <w:t xml:space="preserve">5.3 Description des informations collectées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200"/>
        <w:gridCol w:w="45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Information</w:t>
            </w:r>
          </w:p>
        </w:tc>
        <w:tc>
          <w:tcPr>
            <w:tcW w:type="dxa" w:w="2200"/>
            <w:shd w:fill="1F3864" w:val="clear"/>
            <w:tcMar>
              <w:top w:type="dxa" w:w="100"/>
              <w:left w:type="dxa" w:w="120"/>
              <w:bottom w:type="dxa" w:w="100"/>
              <w:right w:type="dxa" w:w="120"/>
            </w:tcMar>
            <w:vAlign w:val="center"/>
          </w:tcPr>
          <w:p>
            <w:r>
              <w:rPr>
                <w:b/>
                <w:bCs/>
                <w:color w:val="FFFFFF"/>
                <w:sz w:val="20"/>
                <w:szCs w:val="20"/>
              </w:rPr>
              <w:t xml:space="preserve">Exemple</w:t>
            </w:r>
          </w:p>
        </w:tc>
        <w:tc>
          <w:tcPr>
            <w:tcW w:type="dxa" w:w="4550"/>
            <w:shd w:fill="1F3864" w:val="clear"/>
            <w:tcMar>
              <w:top w:type="dxa" w:w="100"/>
              <w:left w:type="dxa" w:w="120"/>
              <w:bottom w:type="dxa" w:w="100"/>
              <w:right w:type="dxa" w:w="120"/>
            </w:tcMar>
            <w:vAlign w:val="center"/>
          </w:tcPr>
          <w:p>
            <w:r>
              <w:rPr>
                <w:b/>
                <w:bCs/>
                <w:color w:val="FFFFFF"/>
                <w:sz w:val="20"/>
                <w:szCs w:val="20"/>
              </w:rPr>
              <w:t xml:space="preserve">Ce que ça représente</w:t>
            </w:r>
          </w:p>
        </w:tc>
      </w:tr>
      <w:tr>
        <w:tc>
          <w:tcPr>
            <w:tcW w:type="dxa" w:w="2600"/>
            <w:shd w:fill="FFFFFF" w:val="clear"/>
            <w:tcMar>
              <w:top w:type="dxa" w:w="90"/>
              <w:left w:type="dxa" w:w="120"/>
              <w:bottom w:type="dxa" w:w="90"/>
              <w:right w:type="dxa" w:w="120"/>
            </w:tcMar>
            <w:vAlign w:val="center"/>
          </w:tcPr>
          <w:p>
            <w:r>
              <w:rPr>
                <w:sz w:val="20"/>
                <w:szCs w:val="20"/>
              </w:rPr>
              <w:t xml:space="preserve">Date et heure</w:t>
            </w:r>
          </w:p>
        </w:tc>
        <w:tc>
          <w:tcPr>
            <w:tcW w:type="dxa" w:w="2200"/>
            <w:shd w:fill="FFFFFF" w:val="clear"/>
            <w:tcMar>
              <w:top w:type="dxa" w:w="90"/>
              <w:left w:type="dxa" w:w="120"/>
              <w:bottom w:type="dxa" w:w="90"/>
              <w:right w:type="dxa" w:w="120"/>
            </w:tcMar>
            <w:vAlign w:val="center"/>
          </w:tcPr>
          <w:p>
            <w:r>
              <w:rPr>
                <w:sz w:val="20"/>
                <w:szCs w:val="20"/>
              </w:rPr>
              <w:t xml:space="preserve">24/07/2026 08:00</w:t>
            </w:r>
          </w:p>
        </w:tc>
        <w:tc>
          <w:tcPr>
            <w:tcW w:type="dxa" w:w="4550"/>
            <w:shd w:fill="FFFFFF" w:val="clear"/>
            <w:tcMar>
              <w:top w:type="dxa" w:w="90"/>
              <w:left w:type="dxa" w:w="120"/>
              <w:bottom w:type="dxa" w:w="90"/>
              <w:right w:type="dxa" w:w="120"/>
            </w:tcMar>
            <w:vAlign w:val="center"/>
          </w:tcPr>
          <w:p>
            <w:r>
              <w:rPr>
                <w:sz w:val="20"/>
                <w:szCs w:val="20"/>
              </w:rPr>
              <w:t xml:space="preserve">Le moment exact de la mesure</w:t>
            </w:r>
          </w:p>
        </w:tc>
      </w:tr>
      <w:tr>
        <w:tc>
          <w:tcPr>
            <w:tcW w:type="dxa" w:w="2600"/>
            <w:shd w:fill="F2F2F2" w:val="clear"/>
            <w:tcMar>
              <w:top w:type="dxa" w:w="90"/>
              <w:left w:type="dxa" w:w="120"/>
              <w:bottom w:type="dxa" w:w="90"/>
              <w:right w:type="dxa" w:w="120"/>
            </w:tcMar>
            <w:vAlign w:val="center"/>
          </w:tcPr>
          <w:p>
            <w:r>
              <w:rPr>
                <w:sz w:val="20"/>
                <w:szCs w:val="20"/>
              </w:rPr>
              <w:t xml:space="preserve">Région</w:t>
            </w:r>
          </w:p>
        </w:tc>
        <w:tc>
          <w:tcPr>
            <w:tcW w:type="dxa" w:w="2200"/>
            <w:shd w:fill="F2F2F2" w:val="clear"/>
            <w:tcMar>
              <w:top w:type="dxa" w:w="90"/>
              <w:left w:type="dxa" w:w="120"/>
              <w:bottom w:type="dxa" w:w="90"/>
              <w:right w:type="dxa" w:w="120"/>
            </w:tcMar>
            <w:vAlign w:val="center"/>
          </w:tcPr>
          <w:p>
            <w:r>
              <w:rPr>
                <w:sz w:val="20"/>
                <w:szCs w:val="20"/>
              </w:rPr>
              <w:t xml:space="preserve">Oriental</w:t>
            </w:r>
          </w:p>
        </w:tc>
        <w:tc>
          <w:tcPr>
            <w:tcW w:type="dxa" w:w="4550"/>
            <w:shd w:fill="F2F2F2" w:val="clear"/>
            <w:tcMar>
              <w:top w:type="dxa" w:w="90"/>
              <w:left w:type="dxa" w:w="120"/>
              <w:bottom w:type="dxa" w:w="90"/>
              <w:right w:type="dxa" w:w="120"/>
            </w:tcMar>
            <w:vAlign w:val="center"/>
          </w:tcPr>
          <w:p>
            <w:r>
              <w:rPr>
                <w:sz w:val="20"/>
                <w:szCs w:val="20"/>
              </w:rPr>
              <w:t xml:space="preserve">La grande région administrative concernée</w:t>
            </w:r>
          </w:p>
        </w:tc>
      </w:tr>
      <w:tr>
        <w:tc>
          <w:tcPr>
            <w:tcW w:type="dxa" w:w="2600"/>
            <w:shd w:fill="FFFFFF" w:val="clear"/>
            <w:tcMar>
              <w:top w:type="dxa" w:w="90"/>
              <w:left w:type="dxa" w:w="120"/>
              <w:bottom w:type="dxa" w:w="90"/>
              <w:right w:type="dxa" w:w="120"/>
            </w:tcMar>
            <w:vAlign w:val="center"/>
          </w:tcPr>
          <w:p>
            <w:r>
              <w:rPr>
                <w:sz w:val="20"/>
                <w:szCs w:val="20"/>
              </w:rPr>
              <w:t xml:space="preserve">Ville / zone</w:t>
            </w:r>
          </w:p>
        </w:tc>
        <w:tc>
          <w:tcPr>
            <w:tcW w:type="dxa" w:w="2200"/>
            <w:shd w:fill="FFFFFF" w:val="clear"/>
            <w:tcMar>
              <w:top w:type="dxa" w:w="90"/>
              <w:left w:type="dxa" w:w="120"/>
              <w:bottom w:type="dxa" w:w="90"/>
              <w:right w:type="dxa" w:w="120"/>
            </w:tcMar>
            <w:vAlign w:val="center"/>
          </w:tcPr>
          <w:p>
            <w:r>
              <w:rPr>
                <w:sz w:val="20"/>
                <w:szCs w:val="20"/>
              </w:rPr>
              <w:t xml:space="preserve">Nador</w:t>
            </w:r>
          </w:p>
        </w:tc>
        <w:tc>
          <w:tcPr>
            <w:tcW w:type="dxa" w:w="4550"/>
            <w:shd w:fill="FFFFFF" w:val="clear"/>
            <w:tcMar>
              <w:top w:type="dxa" w:w="90"/>
              <w:left w:type="dxa" w:w="120"/>
              <w:bottom w:type="dxa" w:w="90"/>
              <w:right w:type="dxa" w:w="120"/>
            </w:tcMar>
            <w:vAlign w:val="center"/>
          </w:tcPr>
          <w:p>
            <w:r>
              <w:rPr>
                <w:sz w:val="20"/>
                <w:szCs w:val="20"/>
              </w:rPr>
              <w:t xml:space="preserve">La zone géographique précise</w:t>
            </w:r>
          </w:p>
        </w:tc>
      </w:tr>
      <w:tr>
        <w:tc>
          <w:tcPr>
            <w:tcW w:type="dxa" w:w="2600"/>
            <w:shd w:fill="F2F2F2" w:val="clear"/>
            <w:tcMar>
              <w:top w:type="dxa" w:w="90"/>
              <w:left w:type="dxa" w:w="120"/>
              <w:bottom w:type="dxa" w:w="90"/>
              <w:right w:type="dxa" w:w="120"/>
            </w:tcMar>
            <w:vAlign w:val="center"/>
          </w:tcPr>
          <w:p>
            <w:r>
              <w:rPr>
                <w:sz w:val="20"/>
                <w:szCs w:val="20"/>
              </w:rPr>
              <w:t xml:space="preserve">Position GPS</w:t>
            </w:r>
          </w:p>
        </w:tc>
        <w:tc>
          <w:tcPr>
            <w:tcW w:type="dxa" w:w="2200"/>
            <w:shd w:fill="F2F2F2" w:val="clear"/>
            <w:tcMar>
              <w:top w:type="dxa" w:w="90"/>
              <w:left w:type="dxa" w:w="120"/>
              <w:bottom w:type="dxa" w:w="90"/>
              <w:right w:type="dxa" w:w="120"/>
            </w:tcMar>
            <w:vAlign w:val="center"/>
          </w:tcPr>
          <w:p>
            <w:r>
              <w:rPr>
                <w:sz w:val="20"/>
                <w:szCs w:val="20"/>
              </w:rPr>
              <w:t xml:space="preserve">35.16, -2.92</w:t>
            </w:r>
          </w:p>
        </w:tc>
        <w:tc>
          <w:tcPr>
            <w:tcW w:type="dxa" w:w="4550"/>
            <w:shd w:fill="F2F2F2" w:val="clear"/>
            <w:tcMar>
              <w:top w:type="dxa" w:w="90"/>
              <w:left w:type="dxa" w:w="120"/>
              <w:bottom w:type="dxa" w:w="90"/>
              <w:right w:type="dxa" w:w="120"/>
            </w:tcMar>
            <w:vAlign w:val="center"/>
          </w:tcPr>
          <w:p>
            <w:r>
              <w:rPr>
                <w:sz w:val="20"/>
                <w:szCs w:val="20"/>
              </w:rPr>
              <w:t xml:space="preserve">L'endroit exact où la mesure a été prise</w:t>
            </w:r>
          </w:p>
        </w:tc>
      </w:tr>
      <w:tr>
        <w:tc>
          <w:tcPr>
            <w:tcW w:type="dxa" w:w="2600"/>
            <w:shd w:fill="FFFFFF" w:val="clear"/>
            <w:tcMar>
              <w:top w:type="dxa" w:w="90"/>
              <w:left w:type="dxa" w:w="120"/>
              <w:bottom w:type="dxa" w:w="90"/>
              <w:right w:type="dxa" w:w="120"/>
            </w:tcMar>
            <w:vAlign w:val="center"/>
          </w:tcPr>
          <w:p>
            <w:r>
              <w:rPr>
                <w:sz w:val="20"/>
                <w:szCs w:val="20"/>
              </w:rPr>
              <w:t xml:space="preserve">Technologie</w:t>
            </w:r>
          </w:p>
        </w:tc>
        <w:tc>
          <w:tcPr>
            <w:tcW w:type="dxa" w:w="2200"/>
            <w:shd w:fill="FFFFFF" w:val="clear"/>
            <w:tcMar>
              <w:top w:type="dxa" w:w="90"/>
              <w:left w:type="dxa" w:w="120"/>
              <w:bottom w:type="dxa" w:w="90"/>
              <w:right w:type="dxa" w:w="120"/>
            </w:tcMar>
            <w:vAlign w:val="center"/>
          </w:tcPr>
          <w:p>
            <w:r>
              <w:rPr>
                <w:sz w:val="20"/>
                <w:szCs w:val="20"/>
              </w:rPr>
              <w:t xml:space="preserve">4G</w:t>
            </w:r>
          </w:p>
        </w:tc>
        <w:tc>
          <w:tcPr>
            <w:tcW w:type="dxa" w:w="4550"/>
            <w:shd w:fill="FFFFFF" w:val="clear"/>
            <w:tcMar>
              <w:top w:type="dxa" w:w="90"/>
              <w:left w:type="dxa" w:w="120"/>
              <w:bottom w:type="dxa" w:w="90"/>
              <w:right w:type="dxa" w:w="120"/>
            </w:tcMar>
            <w:vAlign w:val="center"/>
          </w:tcPr>
          <w:p>
            <w:r>
              <w:rPr>
                <w:sz w:val="20"/>
                <w:szCs w:val="20"/>
              </w:rPr>
              <w:t xml:space="preserve">Le type de réseau testé (2G/3G/4G/5G)</w:t>
            </w:r>
          </w:p>
        </w:tc>
      </w:tr>
      <w:tr>
        <w:tc>
          <w:tcPr>
            <w:tcW w:type="dxa" w:w="2600"/>
            <w:shd w:fill="F2F2F2" w:val="clear"/>
            <w:tcMar>
              <w:top w:type="dxa" w:w="90"/>
              <w:left w:type="dxa" w:w="120"/>
              <w:bottom w:type="dxa" w:w="90"/>
              <w:right w:type="dxa" w:w="120"/>
            </w:tcMar>
            <w:vAlign w:val="center"/>
          </w:tcPr>
          <w:p>
            <w:r>
              <w:rPr>
                <w:sz w:val="20"/>
                <w:szCs w:val="20"/>
              </w:rPr>
              <w:t xml:space="preserve">Puissance du signal (RSRP)</w:t>
            </w:r>
          </w:p>
        </w:tc>
        <w:tc>
          <w:tcPr>
            <w:tcW w:type="dxa" w:w="2200"/>
            <w:shd w:fill="F2F2F2" w:val="clear"/>
            <w:tcMar>
              <w:top w:type="dxa" w:w="90"/>
              <w:left w:type="dxa" w:w="120"/>
              <w:bottom w:type="dxa" w:w="90"/>
              <w:right w:type="dxa" w:w="120"/>
            </w:tcMar>
            <w:vAlign w:val="center"/>
          </w:tcPr>
          <w:p>
            <w:r>
              <w:rPr>
                <w:sz w:val="20"/>
                <w:szCs w:val="20"/>
              </w:rPr>
              <w:t xml:space="preserve">-90 dBm</w:t>
            </w:r>
          </w:p>
        </w:tc>
        <w:tc>
          <w:tcPr>
            <w:tcW w:type="dxa" w:w="4550"/>
            <w:shd w:fill="F2F2F2" w:val="clear"/>
            <w:tcMar>
              <w:top w:type="dxa" w:w="90"/>
              <w:left w:type="dxa" w:w="120"/>
              <w:bottom w:type="dxa" w:w="90"/>
              <w:right w:type="dxa" w:w="120"/>
            </w:tcMar>
            <w:vAlign w:val="center"/>
          </w:tcPr>
          <w:p>
            <w:r>
              <w:rPr>
                <w:sz w:val="20"/>
                <w:szCs w:val="20"/>
              </w:rPr>
              <w:t xml:space="preserve">La force du signal reçu</w:t>
            </w:r>
          </w:p>
        </w:tc>
      </w:tr>
      <w:tr>
        <w:tc>
          <w:tcPr>
            <w:tcW w:type="dxa" w:w="2600"/>
            <w:shd w:fill="FFFFFF" w:val="clear"/>
            <w:tcMar>
              <w:top w:type="dxa" w:w="90"/>
              <w:left w:type="dxa" w:w="120"/>
              <w:bottom w:type="dxa" w:w="90"/>
              <w:right w:type="dxa" w:w="120"/>
            </w:tcMar>
            <w:vAlign w:val="center"/>
          </w:tcPr>
          <w:p>
            <w:r>
              <w:rPr>
                <w:sz w:val="20"/>
                <w:szCs w:val="20"/>
              </w:rPr>
              <w:t xml:space="preserve">Qualité du signal (RSRQ)</w:t>
            </w:r>
          </w:p>
        </w:tc>
        <w:tc>
          <w:tcPr>
            <w:tcW w:type="dxa" w:w="2200"/>
            <w:shd w:fill="FFFFFF" w:val="clear"/>
            <w:tcMar>
              <w:top w:type="dxa" w:w="90"/>
              <w:left w:type="dxa" w:w="120"/>
              <w:bottom w:type="dxa" w:w="90"/>
              <w:right w:type="dxa" w:w="120"/>
            </w:tcMar>
            <w:vAlign w:val="center"/>
          </w:tcPr>
          <w:p>
            <w:r>
              <w:rPr>
                <w:sz w:val="20"/>
                <w:szCs w:val="20"/>
              </w:rPr>
              <w:t xml:space="preserve">-9 dB</w:t>
            </w:r>
          </w:p>
        </w:tc>
        <w:tc>
          <w:tcPr>
            <w:tcW w:type="dxa" w:w="4550"/>
            <w:shd w:fill="FFFFFF" w:val="clear"/>
            <w:tcMar>
              <w:top w:type="dxa" w:w="90"/>
              <w:left w:type="dxa" w:w="120"/>
              <w:bottom w:type="dxa" w:w="90"/>
              <w:right w:type="dxa" w:w="120"/>
            </w:tcMar>
            <w:vAlign w:val="center"/>
          </w:tcPr>
          <w:p>
            <w:r>
              <w:rPr>
                <w:sz w:val="20"/>
                <w:szCs w:val="20"/>
              </w:rPr>
              <w:t xml:space="preserve">La clarté du signal</w:t>
            </w:r>
          </w:p>
        </w:tc>
      </w:tr>
      <w:tr>
        <w:tc>
          <w:tcPr>
            <w:tcW w:type="dxa" w:w="2600"/>
            <w:shd w:fill="F2F2F2" w:val="clear"/>
            <w:tcMar>
              <w:top w:type="dxa" w:w="90"/>
              <w:left w:type="dxa" w:w="120"/>
              <w:bottom w:type="dxa" w:w="90"/>
              <w:right w:type="dxa" w:w="120"/>
            </w:tcMar>
            <w:vAlign w:val="center"/>
          </w:tcPr>
          <w:p>
            <w:r>
              <w:rPr>
                <w:sz w:val="20"/>
                <w:szCs w:val="20"/>
              </w:rPr>
              <w:t xml:space="preserve">Débit mesuré</w:t>
            </w:r>
          </w:p>
        </w:tc>
        <w:tc>
          <w:tcPr>
            <w:tcW w:type="dxa" w:w="2200"/>
            <w:shd w:fill="F2F2F2" w:val="clear"/>
            <w:tcMar>
              <w:top w:type="dxa" w:w="90"/>
              <w:left w:type="dxa" w:w="120"/>
              <w:bottom w:type="dxa" w:w="90"/>
              <w:right w:type="dxa" w:w="120"/>
            </w:tcMar>
            <w:vAlign w:val="center"/>
          </w:tcPr>
          <w:p>
            <w:r>
              <w:rPr>
                <w:sz w:val="20"/>
                <w:szCs w:val="20"/>
              </w:rPr>
              <w:t xml:space="preserve">45 Mbps</w:t>
            </w:r>
          </w:p>
        </w:tc>
        <w:tc>
          <w:tcPr>
            <w:tcW w:type="dxa" w:w="4550"/>
            <w:shd w:fill="F2F2F2" w:val="clear"/>
            <w:tcMar>
              <w:top w:type="dxa" w:w="90"/>
              <w:left w:type="dxa" w:w="120"/>
              <w:bottom w:type="dxa" w:w="90"/>
              <w:right w:type="dxa" w:w="120"/>
            </w:tcMar>
            <w:vAlign w:val="center"/>
          </w:tcPr>
          <w:p>
            <w:r>
              <w:rPr>
                <w:sz w:val="20"/>
                <w:szCs w:val="20"/>
              </w:rPr>
              <w:t xml:space="preserve">La vitesse de connexion à cet endroit</w:t>
            </w:r>
          </w:p>
        </w:tc>
      </w:tr>
      <w:tr>
        <w:tc>
          <w:tcPr>
            <w:tcW w:type="dxa" w:w="2600"/>
            <w:shd w:fill="FFFFFF" w:val="clear"/>
            <w:tcMar>
              <w:top w:type="dxa" w:w="90"/>
              <w:left w:type="dxa" w:w="120"/>
              <w:bottom w:type="dxa" w:w="90"/>
              <w:right w:type="dxa" w:w="120"/>
            </w:tcMar>
            <w:vAlign w:val="center"/>
          </w:tcPr>
          <w:p>
            <w:r>
              <w:rPr>
                <w:sz w:val="20"/>
                <w:szCs w:val="20"/>
              </w:rPr>
              <w:t xml:space="preserve">Coupure détectée</w:t>
            </w:r>
          </w:p>
        </w:tc>
        <w:tc>
          <w:tcPr>
            <w:tcW w:type="dxa" w:w="2200"/>
            <w:shd w:fill="FFFFFF" w:val="clear"/>
            <w:tcMar>
              <w:top w:type="dxa" w:w="90"/>
              <w:left w:type="dxa" w:w="120"/>
              <w:bottom w:type="dxa" w:w="90"/>
              <w:right w:type="dxa" w:w="120"/>
            </w:tcMar>
            <w:vAlign w:val="center"/>
          </w:tcPr>
          <w:p>
            <w:r>
              <w:rPr>
                <w:sz w:val="20"/>
                <w:szCs w:val="20"/>
              </w:rPr>
              <w:t xml:space="preserve">Oui / Non</w:t>
            </w:r>
          </w:p>
        </w:tc>
        <w:tc>
          <w:tcPr>
            <w:tcW w:type="dxa" w:w="4550"/>
            <w:shd w:fill="FFFFFF" w:val="clear"/>
            <w:tcMar>
              <w:top w:type="dxa" w:w="90"/>
              <w:left w:type="dxa" w:w="120"/>
              <w:bottom w:type="dxa" w:w="90"/>
              <w:right w:type="dxa" w:w="120"/>
            </w:tcMar>
            <w:vAlign w:val="center"/>
          </w:tcPr>
          <w:p>
            <w:r>
              <w:rPr>
                <w:sz w:val="20"/>
                <w:szCs w:val="20"/>
              </w:rPr>
              <w:t xml:space="preserve">Si la connexion s'est interrompue</w:t>
            </w:r>
          </w:p>
        </w:tc>
      </w:tr>
    </w:tbl>
    <w:p>
      <w:pPr>
        <w:pStyle w:val="Heading1"/>
        <w:pBdr>
          <w:bottom w:val="single" w:color="2E74B5" w:sz="8" w:space="4"/>
        </w:pBdr>
        <w:spacing w:after="200" w:before="400"/>
      </w:pPr>
      <w:r>
        <w:rPr>
          <w:b/>
          <w:bCs/>
          <w:color w:val="1F3864"/>
          <w:sz w:val="30"/>
          <w:szCs w:val="30"/>
        </w:rPr>
        <w:t xml:space="preserve">6. </w:t>
      </w:r>
      <w:r>
        <w:rPr>
          <w:b/>
          <w:bCs/>
          <w:color w:val="1F3864"/>
          <w:sz w:val="30"/>
          <w:szCs w:val="30"/>
        </w:rPr>
        <w:t xml:space="preserve">Planning prévisionnel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5450"/>
        <w:gridCol w:w="2300"/>
      </w:tblGrid>
      <w:tr>
        <w:trPr>
          <w:tblHeader/>
        </w:trPr>
        <w:tc>
          <w:tcPr>
            <w:tcW w:type="dxa" w:w="1600"/>
            <w:shd w:fill="1F3864" w:val="clear"/>
            <w:tcMar>
              <w:top w:type="dxa" w:w="100"/>
              <w:left w:type="dxa" w:w="120"/>
              <w:bottom w:type="dxa" w:w="100"/>
              <w:right w:type="dxa" w:w="120"/>
            </w:tcMar>
            <w:vAlign w:val="center"/>
          </w:tcPr>
          <w:p>
            <w:r>
              <w:rPr>
                <w:b/>
                <w:bCs/>
                <w:color w:val="FFFFFF"/>
                <w:sz w:val="20"/>
                <w:szCs w:val="20"/>
              </w:rPr>
              <w:t xml:space="preserve">Semaine</w:t>
            </w:r>
          </w:p>
        </w:tc>
        <w:tc>
          <w:tcPr>
            <w:tcW w:type="dxa" w:w="5450"/>
            <w:shd w:fill="1F3864" w:val="clear"/>
            <w:tcMar>
              <w:top w:type="dxa" w:w="100"/>
              <w:left w:type="dxa" w:w="120"/>
              <w:bottom w:type="dxa" w:w="100"/>
              <w:right w:type="dxa" w:w="120"/>
            </w:tcMar>
            <w:vAlign w:val="center"/>
          </w:tcPr>
          <w:p>
            <w:r>
              <w:rPr>
                <w:b/>
                <w:bCs/>
                <w:color w:val="FFFFFF"/>
                <w:sz w:val="20"/>
                <w:szCs w:val="20"/>
              </w:rPr>
              <w:t xml:space="preserve">Objectif</w:t>
            </w:r>
          </w:p>
        </w:tc>
        <w:tc>
          <w:tcPr>
            <w:tcW w:type="dxa" w:w="2300"/>
            <w:shd w:fill="1F3864" w:val="clear"/>
            <w:tcMar>
              <w:top w:type="dxa" w:w="100"/>
              <w:left w:type="dxa" w:w="120"/>
              <w:bottom w:type="dxa" w:w="100"/>
              <w:right w:type="dxa" w:w="120"/>
            </w:tcMar>
            <w:vAlign w:val="center"/>
          </w:tcPr>
          <w:p>
            <w:r>
              <w:rPr>
                <w:b/>
                <w:bCs/>
                <w:color w:val="FFFFFF"/>
                <w:sz w:val="20"/>
                <w:szCs w:val="20"/>
              </w:rPr>
              <w:t xml:space="preserve">Livrable de la semaine</w:t>
            </w:r>
          </w:p>
        </w:tc>
      </w:tr>
      <w:tr>
        <w:tc>
          <w:tcPr>
            <w:tcW w:type="dxa" w:w="1600"/>
            <w:shd w:fill="FFFFFF" w:val="clear"/>
            <w:tcMar>
              <w:top w:type="dxa" w:w="90"/>
              <w:left w:type="dxa" w:w="120"/>
              <w:bottom w:type="dxa" w:w="90"/>
              <w:right w:type="dxa" w:w="120"/>
            </w:tcMar>
            <w:vAlign w:val="center"/>
          </w:tcPr>
          <w:p>
            <w:r>
              <w:rPr>
                <w:sz w:val="20"/>
                <w:szCs w:val="20"/>
              </w:rPr>
              <w:t xml:space="preserve">Semaine 1</w:t>
            </w:r>
          </w:p>
        </w:tc>
        <w:tc>
          <w:tcPr>
            <w:tcW w:type="dxa" w:w="5450"/>
            <w:shd w:fill="FFFFFF" w:val="clear"/>
            <w:tcMar>
              <w:top w:type="dxa" w:w="90"/>
              <w:left w:type="dxa" w:w="120"/>
              <w:bottom w:type="dxa" w:w="90"/>
              <w:right w:type="dxa" w:w="120"/>
            </w:tcMar>
            <w:vAlign w:val="center"/>
          </w:tcPr>
          <w:p>
            <w:r>
              <w:rPr>
                <w:sz w:val="20"/>
                <w:szCs w:val="20"/>
              </w:rPr>
              <w:t xml:space="preserve">Cadrage du projet, collecte/préparation des données nationales, prise en main des outils.</w:t>
            </w:r>
          </w:p>
        </w:tc>
        <w:tc>
          <w:tcPr>
            <w:tcW w:type="dxa" w:w="2300"/>
            <w:shd w:fill="FFFFFF" w:val="clear"/>
            <w:tcMar>
              <w:top w:type="dxa" w:w="90"/>
              <w:left w:type="dxa" w:w="120"/>
              <w:bottom w:type="dxa" w:w="90"/>
              <w:right w:type="dxa" w:w="120"/>
            </w:tcMar>
            <w:vAlign w:val="center"/>
          </w:tcPr>
          <w:p>
            <w:r>
              <w:rPr>
                <w:sz w:val="20"/>
                <w:szCs w:val="20"/>
              </w:rPr>
              <w:t xml:space="preserve">Cahier des charges validé + jeu de données national préparé</w:t>
            </w:r>
          </w:p>
        </w:tc>
      </w:tr>
      <w:tr>
        <w:tc>
          <w:tcPr>
            <w:tcW w:type="dxa" w:w="1600"/>
            <w:shd w:fill="F2F2F2" w:val="clear"/>
            <w:tcMar>
              <w:top w:type="dxa" w:w="90"/>
              <w:left w:type="dxa" w:w="120"/>
              <w:bottom w:type="dxa" w:w="90"/>
              <w:right w:type="dxa" w:w="120"/>
            </w:tcMar>
            <w:vAlign w:val="center"/>
          </w:tcPr>
          <w:p>
            <w:r>
              <w:rPr>
                <w:sz w:val="20"/>
                <w:szCs w:val="20"/>
              </w:rPr>
              <w:t xml:space="preserve">Semaine 2</w:t>
            </w:r>
          </w:p>
        </w:tc>
        <w:tc>
          <w:tcPr>
            <w:tcW w:type="dxa" w:w="5450"/>
            <w:shd w:fill="F2F2F2" w:val="clear"/>
            <w:tcMar>
              <w:top w:type="dxa" w:w="90"/>
              <w:left w:type="dxa" w:w="120"/>
              <w:bottom w:type="dxa" w:w="90"/>
              <w:right w:type="dxa" w:w="120"/>
            </w:tcMar>
            <w:vAlign w:val="center"/>
          </w:tcPr>
          <w:p>
            <w:r>
              <w:rPr>
                <w:sz w:val="20"/>
                <w:szCs w:val="20"/>
              </w:rPr>
              <w:t xml:space="preserve">Développement du pipeline Python (nettoyage, indicateurs) et conception de la base SQL Server nationale.</w:t>
            </w:r>
          </w:p>
        </w:tc>
        <w:tc>
          <w:tcPr>
            <w:tcW w:type="dxa" w:w="2300"/>
            <w:shd w:fill="F2F2F2" w:val="clear"/>
            <w:tcMar>
              <w:top w:type="dxa" w:w="90"/>
              <w:left w:type="dxa" w:w="120"/>
              <w:bottom w:type="dxa" w:w="90"/>
              <w:right w:type="dxa" w:w="120"/>
            </w:tcMar>
            <w:vAlign w:val="center"/>
          </w:tcPr>
          <w:p>
            <w:r>
              <w:rPr>
                <w:sz w:val="20"/>
                <w:szCs w:val="20"/>
              </w:rPr>
              <w:t xml:space="preserve">Pipeline ETL fonctionnel + base de données nationale remplie</w:t>
            </w:r>
          </w:p>
        </w:tc>
      </w:tr>
      <w:tr>
        <w:tc>
          <w:tcPr>
            <w:tcW w:type="dxa" w:w="1600"/>
            <w:shd w:fill="FFFFFF" w:val="clear"/>
            <w:tcMar>
              <w:top w:type="dxa" w:w="90"/>
              <w:left w:type="dxa" w:w="120"/>
              <w:bottom w:type="dxa" w:w="90"/>
              <w:right w:type="dxa" w:w="120"/>
            </w:tcMar>
            <w:vAlign w:val="center"/>
          </w:tcPr>
          <w:p>
            <w:r>
              <w:rPr>
                <w:sz w:val="20"/>
                <w:szCs w:val="20"/>
              </w:rPr>
              <w:t xml:space="preserve">Semaine 3</w:t>
            </w:r>
          </w:p>
        </w:tc>
        <w:tc>
          <w:tcPr>
            <w:tcW w:type="dxa" w:w="5450"/>
            <w:shd w:fill="FFFFFF" w:val="clear"/>
            <w:tcMar>
              <w:top w:type="dxa" w:w="90"/>
              <w:left w:type="dxa" w:w="120"/>
              <w:bottom w:type="dxa" w:w="90"/>
              <w:right w:type="dxa" w:w="120"/>
            </w:tcMar>
            <w:vAlign w:val="center"/>
          </w:tcPr>
          <w:p>
            <w:r>
              <w:rPr>
                <w:sz w:val="20"/>
                <w:szCs w:val="20"/>
              </w:rPr>
              <w:t xml:space="preserve">Construction du tableau de bord Power BI (carte nationale, filtres, comparaisons régionales) + premier modèle de Machine Learning (prédiction).</w:t>
            </w:r>
          </w:p>
        </w:tc>
        <w:tc>
          <w:tcPr>
            <w:tcW w:type="dxa" w:w="2300"/>
            <w:shd w:fill="FFFFFF" w:val="clear"/>
            <w:tcMar>
              <w:top w:type="dxa" w:w="90"/>
              <w:left w:type="dxa" w:w="120"/>
              <w:bottom w:type="dxa" w:w="90"/>
              <w:right w:type="dxa" w:w="120"/>
            </w:tcMar>
            <w:vAlign w:val="center"/>
          </w:tcPr>
          <w:p>
            <w:r>
              <w:rPr>
                <w:sz w:val="20"/>
                <w:szCs w:val="20"/>
              </w:rPr>
              <w:t xml:space="preserve">Dashboard v1 + modèle ML de prédiction</w:t>
            </w:r>
          </w:p>
        </w:tc>
      </w:tr>
      <w:tr>
        <w:tc>
          <w:tcPr>
            <w:tcW w:type="dxa" w:w="1600"/>
            <w:shd w:fill="F2F2F2" w:val="clear"/>
            <w:tcMar>
              <w:top w:type="dxa" w:w="90"/>
              <w:left w:type="dxa" w:w="120"/>
              <w:bottom w:type="dxa" w:w="90"/>
              <w:right w:type="dxa" w:w="120"/>
            </w:tcMar>
            <w:vAlign w:val="center"/>
          </w:tcPr>
          <w:p>
            <w:r>
              <w:rPr>
                <w:sz w:val="20"/>
                <w:szCs w:val="20"/>
              </w:rPr>
              <w:t xml:space="preserve">Semaine 4</w:t>
            </w:r>
          </w:p>
        </w:tc>
        <w:tc>
          <w:tcPr>
            <w:tcW w:type="dxa" w:w="5450"/>
            <w:shd w:fill="F2F2F2" w:val="clear"/>
            <w:tcMar>
              <w:top w:type="dxa" w:w="90"/>
              <w:left w:type="dxa" w:w="120"/>
              <w:bottom w:type="dxa" w:w="90"/>
              <w:right w:type="dxa" w:w="120"/>
            </w:tcMar>
            <w:vAlign w:val="center"/>
          </w:tcPr>
          <w:p>
            <w:r>
              <w:rPr>
                <w:sz w:val="20"/>
                <w:szCs w:val="20"/>
              </w:rPr>
              <w:t xml:space="preserve">Détection d'anomalies, comparaison Machine Learning / Deep Learning, finalisation du dashboard, rapport et soutenance.</w:t>
            </w:r>
          </w:p>
        </w:tc>
        <w:tc>
          <w:tcPr>
            <w:tcW w:type="dxa" w:w="2300"/>
            <w:shd w:fill="F2F2F2" w:val="clear"/>
            <w:tcMar>
              <w:top w:type="dxa" w:w="90"/>
              <w:left w:type="dxa" w:w="120"/>
              <w:bottom w:type="dxa" w:w="90"/>
              <w:right w:type="dxa" w:w="120"/>
            </w:tcMar>
            <w:vAlign w:val="center"/>
          </w:tcPr>
          <w:p>
            <w:r>
              <w:rPr>
                <w:sz w:val="20"/>
                <w:szCs w:val="20"/>
              </w:rPr>
              <w:t xml:space="preserve">Modules IA finalisés + dashboard complet + rapport de stage</w:t>
            </w:r>
          </w:p>
        </w:tc>
      </w:tr>
    </w:tbl>
    <w:p>
      <w:pPr>
        <w:pStyle w:val="Heading1"/>
        <w:pBdr>
          <w:bottom w:val="single" w:color="2E74B5" w:sz="8" w:space="4"/>
        </w:pBdr>
        <w:spacing w:after="200" w:before="400"/>
      </w:pPr>
      <w:r>
        <w:rPr>
          <w:b/>
          <w:bCs/>
          <w:color w:val="1F3864"/>
          <w:sz w:val="30"/>
          <w:szCs w:val="30"/>
        </w:rPr>
        <w:t xml:space="preserve">7. </w:t>
      </w:r>
      <w:r>
        <w:rPr>
          <w:b/>
          <w:bCs/>
          <w:color w:val="1F3864"/>
          <w:sz w:val="30"/>
          <w:szCs w:val="30"/>
        </w:rPr>
        <w:t xml:space="preserve">Livrables attendus en fin de projet</w:t>
      </w:r>
    </w:p>
    <w:p>
      <w:pPr>
        <w:pStyle w:val="ListParagraph"/>
        <w:numPr>
          <w:ilvl w:val="0"/>
          <w:numId w:val="2"/>
        </w:numPr>
        <w:spacing w:after="90" w:line="280"/>
      </w:pPr>
      <w:r>
        <w:rPr>
          <w:sz w:val="22"/>
          <w:szCs w:val="22"/>
        </w:rPr>
        <w:t xml:space="preserve">Un pipeline Python documenté, capable de nettoyer et préparer les données de nouvelles campagnes de mesure, quelle que soit la région.</w:t>
      </w:r>
    </w:p>
    <w:p>
      <w:pPr>
        <w:pStyle w:val="ListParagraph"/>
        <w:numPr>
          <w:ilvl w:val="0"/>
          <w:numId w:val="2"/>
        </w:numPr>
        <w:spacing w:after="90" w:line="280"/>
      </w:pPr>
      <w:r>
        <w:rPr>
          <w:sz w:val="22"/>
          <w:szCs w:val="22"/>
        </w:rPr>
        <w:t xml:space="preserve">Une base de données SQL Server structurée à l'échelle nationale, organisée par région et par ville.</w:t>
      </w:r>
    </w:p>
    <w:p>
      <w:pPr>
        <w:pStyle w:val="ListParagraph"/>
        <w:numPr>
          <w:ilvl w:val="0"/>
          <w:numId w:val="2"/>
        </w:numPr>
        <w:spacing w:after="90" w:line="280"/>
      </w:pPr>
      <w:r>
        <w:rPr>
          <w:sz w:val="22"/>
          <w:szCs w:val="22"/>
        </w:rPr>
        <w:t xml:space="preserve">Un tableau de bord Power BI interactif (carte nationale, filtres, comparaisons régionales, évolution dans le temps).</w:t>
      </w:r>
    </w:p>
    <w:p>
      <w:pPr>
        <w:pStyle w:val="ListParagraph"/>
        <w:numPr>
          <w:ilvl w:val="0"/>
          <w:numId w:val="2"/>
        </w:numPr>
        <w:spacing w:after="90" w:line="280"/>
      </w:pPr>
      <w:r>
        <w:rPr>
          <w:sz w:val="22"/>
          <w:szCs w:val="22"/>
        </w:rPr>
        <w:t xml:space="preserve">Un modèle de Machine Learning pour la prédiction de la qualité réseau.</w:t>
      </w:r>
    </w:p>
    <w:p>
      <w:pPr>
        <w:pStyle w:val="ListParagraph"/>
        <w:numPr>
          <w:ilvl w:val="0"/>
          <w:numId w:val="2"/>
        </w:numPr>
        <w:spacing w:after="90" w:line="280"/>
      </w:pPr>
      <w:r>
        <w:rPr>
          <w:sz w:val="22"/>
          <w:szCs w:val="22"/>
        </w:rPr>
        <w:t xml:space="preserve">Un module de détection automatique des zones à risque.</w:t>
      </w:r>
    </w:p>
    <w:p>
      <w:pPr>
        <w:pStyle w:val="ListParagraph"/>
        <w:numPr>
          <w:ilvl w:val="0"/>
          <w:numId w:val="2"/>
        </w:numPr>
        <w:spacing w:after="90" w:line="280"/>
      </w:pPr>
      <w:r>
        <w:rPr>
          <w:sz w:val="22"/>
          <w:szCs w:val="22"/>
        </w:rPr>
        <w:t xml:space="preserve">Une analyse comparative Machine Learning / Deep Learning, argumentée et chiffrée.</w:t>
      </w:r>
    </w:p>
    <w:p>
      <w:pPr>
        <w:pStyle w:val="ListParagraph"/>
        <w:numPr>
          <w:ilvl w:val="0"/>
          <w:numId w:val="2"/>
        </w:numPr>
        <w:spacing w:after="90" w:line="280"/>
      </w:pPr>
      <w:r>
        <w:rPr>
          <w:sz w:val="22"/>
          <w:szCs w:val="22"/>
        </w:rPr>
        <w:t xml:space="preserve">Un rapport de stage détaillant la démarche, les choix techniques et les résultats obtenus.</w:t>
      </w:r>
    </w:p>
    <w:p>
      <w:pPr>
        <w:pStyle w:val="ListParagraph"/>
        <w:numPr>
          <w:ilvl w:val="0"/>
          <w:numId w:val="2"/>
        </w:numPr>
        <w:spacing w:after="90" w:line="280"/>
      </w:pPr>
      <w:r>
        <w:rPr>
          <w:sz w:val="22"/>
          <w:szCs w:val="22"/>
        </w:rPr>
        <w:t xml:space="preserve">Une présentation de soutenance résumant le projet et sa valeur pour l'entreprise.</w:t>
      </w:r>
    </w:p>
    <w:p>
      <w:pPr>
        <w:spacing w:after="300"/>
      </w:pPr>
    </w:p>
    <w:tbl>
      <w:tblPr>
        <w:tblW w:type="dxa" w:w="9350"/>
        <w:tblBorders>
          <w:top w:val="single" w:color="2E74B5" w:sz="4"/>
          <w:left w:val="single" w:color="2E74B5" w:sz="4"/>
          <w:bottom w:val="single" w:color="2E74B5" w:sz="4"/>
          <w:right w:val="single" w:color="2E74B5" w:sz="4"/>
          <w:insideH w:val="none"/>
          <w:insideV w:val="none"/>
        </w:tblBorders>
      </w:tblPr>
      <w:tblGrid>
        <w:gridCol w:w="100"/>
      </w:tblGrid>
      <w:tr>
        <w:tc>
          <w:tcPr>
            <w:tcW w:type="dxa" w:w="9350"/>
            <w:shd w:fill="DCE6F1" w:val="clear"/>
            <w:tcMar>
              <w:top w:type="dxa" w:w="160"/>
              <w:left w:type="dxa" w:w="200"/>
              <w:bottom w:type="dxa" w:w="160"/>
              <w:right w:type="dxa" w:w="200"/>
            </w:tcMar>
          </w:tcPr>
          <w:p>
            <w:pPr>
              <w:spacing w:after="100"/>
            </w:pPr>
            <w:r>
              <w:rPr>
                <w:b/>
                <w:bCs/>
                <w:color w:val="1F3864"/>
                <w:sz w:val="22"/>
                <w:szCs w:val="22"/>
              </w:rPr>
              <w:t xml:space="preserve">Ce qu'il faut retenir en une phrase</w:t>
            </w:r>
          </w:p>
          <w:p>
            <w:pPr>
              <w:spacing w:after="60" w:line="270"/>
            </w:pPr>
            <w:r>
              <w:rPr>
                <w:color w:val="333333"/>
                <w:sz w:val="21"/>
                <w:szCs w:val="21"/>
              </w:rPr>
              <w:t xml:space="preserve">• Ce projet transforme des mesures de terrain dispersées, à l'échelle du Maroc entier, en un système intelligent qui centralise, visualise et anticipe la qualité du réseau mobile — combinant Data Engineering, Business Intelligence et Intelligence Artificielle.</w:t>
            </w:r>
          </w:p>
        </w:tc>
      </w:tr>
    </w:tbl>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Réseau Sous Contrôle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2026-08-11T21:05:14.918Z</dcterms:created>
  <dcterms:modified xsi:type="dcterms:W3CDTF">2026-08-11T21:05:14.938Z</dcterms:modified>
</cp:coreProperties>
</file>

<file path=docProps/custom.xml><?xml version="1.0" encoding="utf-8"?>
<Properties xmlns="http://schemas.openxmlformats.org/officeDocument/2006/custom-properties" xmlns:vt="http://schemas.openxmlformats.org/officeDocument/2006/docPropsVTypes"/>
</file>