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F497D"/>
          <w:sz w:val="32"/>
        </w:rPr>
        <w:t>Chapitre 4 : Conception du système</w:t>
      </w:r>
    </w:p>
    <w:p>
      <w:pPr>
        <w:spacing w:after="120"/>
        <w:ind w:firstLine="567"/>
        <w:jc w:val="both"/>
      </w:pPr>
      <w:r>
        <w:rPr>
          <w:rFonts w:ascii="Times New Roman" w:hAnsi="Times New Roman"/>
          <w:sz w:val="24"/>
        </w:rPr>
        <w:t>Ce chapitre traduit les besoins établis au chapitre précédent en choix d'architecture et de conception. Ces choix sont gouvernés par une exigence directrice : faire circuler la donnée de compétence entre le recrutement, l'emploi et la formation afin de maintenir un référentiel vivant. Nous présentons successivement l'architecture générale (4.1), les choix technologiques (4.2), le modèle de données (4.3), la conception de la sécurité (4.4) et celle des mécanismes au cœur du référentiel vivant (4.5).</w:t>
      </w:r>
    </w:p>
    <w:p>
      <w:pPr>
        <w:pStyle w:val="Heading2"/>
      </w:pPr>
      <w:r>
        <w:rPr>
          <w:rFonts w:ascii="Times New Roman" w:hAnsi="Times New Roman"/>
          <w:color w:val="2E74B5"/>
          <w:sz w:val="28"/>
        </w:rPr>
        <w:t>4.1 Architecture générale</w:t>
      </w:r>
    </w:p>
    <w:p>
      <w:pPr>
        <w:spacing w:after="120"/>
        <w:ind w:firstLine="567"/>
        <w:jc w:val="both"/>
      </w:pPr>
      <w:r>
        <w:rPr>
          <w:rFonts w:ascii="Times New Roman" w:hAnsi="Times New Roman"/>
          <w:sz w:val="24"/>
        </w:rPr>
        <w:t>RecruitPRO n'est pas une application monolithique mais un assemblage de trois applications autonomes partageant une même identité numérique : une API centrale (FastAPI, PostgreSQL) qui porte le cœur métier RH — vivier de candidats, employés, postes, compétences et mobilité ; une interface RH (Next.js) qui en constitue le seul point d'authentification ; et un système de formation en ligne, le LMS (Next.js, MongoDB), dépourvu d'authentification propre.</w:t>
      </w:r>
    </w:p>
    <w:p>
      <w:pPr>
        <w:spacing w:after="120"/>
        <w:ind w:firstLine="567"/>
        <w:jc w:val="both"/>
      </w:pPr>
      <w:r>
        <w:rPr>
          <w:rFonts w:ascii="Times New Roman" w:hAnsi="Times New Roman"/>
          <w:sz w:val="24"/>
        </w:rPr>
        <w:t>Le liant de cet ensemble est un jeton JWT, signé en HS256 avec un secret commun aux trois applications : une fois authentifié sur l'interface RH, l'utilisateur est reconnu par les deux autres sans nouvelle connexion. Trois canaux d'intégration en découlent. L'interface RH consomme directement l'API du LMS en présentant ce jeton. Elle ouvre le LMS en lui transmettant le jeton dans l'adresse (authentification unique, ou SSO), que le LMS capte puis efface de l'URL. Enfin, à la complétion d'une formation, le LMS notifie l'API centrale par un appel de service — le « pont » applicatif — qui relève le niveau de compétence de l'apprenant. L'API centrale interroge par ailleurs le référentiel ROME de France Travail pour alimenter son moteur de matching.</w:t>
      </w:r>
    </w:p>
    <w:p>
      <w:pPr>
        <w:spacing w:before="120" w:after="200"/>
        <w:jc w:val="center"/>
      </w:pPr>
      <w:r>
        <w:rPr>
          <w:rFonts w:ascii="Times New Roman" w:hAnsi="Times New Roman"/>
          <w:i/>
          <w:color w:val="808080"/>
          <w:sz w:val="21"/>
        </w:rPr>
        <w:t>Figure 4.1 — Architecture générale : les trois applications, les deux bases de données, le jeton JWT partagé et les flux d'intégration.</w:t>
      </w:r>
    </w:p>
    <w:p>
      <w:pPr>
        <w:spacing w:after="120"/>
        <w:ind w:firstLine="567"/>
        <w:jc w:val="both"/>
      </w:pPr>
      <w:r>
        <w:rPr>
          <w:rFonts w:ascii="Times New Roman" w:hAnsi="Times New Roman"/>
          <w:sz w:val="24"/>
        </w:rPr>
        <w:t>L'API centrale est elle-même organisée en couches : des routeurs exposent les points d'accès REST et délèguent la logique métier à des services dédiés — matching, analyse de profil, agrégation GPEC — qui manipulent des modèles persistés au travers d'une couche d'accès aux données. Cette séparation isole les règles métier des préoccupations d'exposition et de persistance, et concentre la valeur du système dans la couche service.</w:t>
      </w:r>
    </w:p>
    <w:p>
      <w:pPr>
        <w:pStyle w:val="Heading2"/>
      </w:pPr>
      <w:r>
        <w:rPr>
          <w:rFonts w:ascii="Times New Roman" w:hAnsi="Times New Roman"/>
          <w:color w:val="2E74B5"/>
          <w:sz w:val="28"/>
        </w:rPr>
        <w:t>4.2 Choix technologiques</w:t>
      </w:r>
    </w:p>
    <w:p>
      <w:pPr>
        <w:spacing w:after="120"/>
        <w:ind w:firstLine="567"/>
        <w:jc w:val="both"/>
      </w:pPr>
      <w:r>
        <w:rPr>
          <w:rFonts w:ascii="Times New Roman" w:hAnsi="Times New Roman"/>
          <w:sz w:val="24"/>
        </w:rPr>
        <w:t>Les technologies ont été retenues au regard des contraintes propres au projet, et non par adhésion à une mode :</w:t>
      </w:r>
    </w:p>
    <w:p>
      <w:pPr>
        <w:pStyle w:val="ListBullet"/>
        <w:ind w:left="567"/>
        <w:jc w:val="both"/>
      </w:pPr>
      <w:r>
        <w:rPr>
          <w:rFonts w:ascii="Times New Roman" w:hAnsi="Times New Roman"/>
          <w:b/>
          <w:sz w:val="24"/>
        </w:rPr>
        <w:t>FastAPI</w:t>
      </w:r>
      <w:r>
        <w:rPr>
          <w:rFonts w:ascii="Times New Roman" w:hAnsi="Times New Roman"/>
          <w:sz w:val="24"/>
        </w:rPr>
        <w:t xml:space="preserve"> (Python) pour l'API : son système d'injection de dépendances exprime naturellement les règles d'autorisation — une vérification de permission à l'entrée de chaque route — et sa validation de schémas sécurise les échanges entre services.</w:t>
      </w:r>
    </w:p>
    <w:p>
      <w:pPr>
        <w:pStyle w:val="ListBullet"/>
        <w:ind w:left="567"/>
        <w:jc w:val="both"/>
      </w:pPr>
      <w:r>
        <w:rPr>
          <w:rFonts w:ascii="Times New Roman" w:hAnsi="Times New Roman"/>
          <w:b/>
          <w:sz w:val="24"/>
        </w:rPr>
        <w:t>PostgreSQL</w:t>
      </w:r>
      <w:r>
        <w:rPr>
          <w:rFonts w:ascii="Times New Roman" w:hAnsi="Times New Roman"/>
          <w:sz w:val="24"/>
        </w:rPr>
        <w:t xml:space="preserve"> pour le cœur RH : les données — candidats, employés, postes, compétences, candidatures — sont fortement relationnelles et exigent des garanties transactionnelles (le transfert d'un profil candidat vers un profil employé doit être atomique), ce qui appelle un SGBD relationnel.</w:t>
      </w:r>
    </w:p>
    <w:p>
      <w:pPr>
        <w:pStyle w:val="ListBullet"/>
        <w:ind w:left="567"/>
        <w:jc w:val="both"/>
      </w:pPr>
      <w:r>
        <w:rPr>
          <w:rFonts w:ascii="Times New Roman" w:hAnsi="Times New Roman"/>
          <w:b/>
          <w:sz w:val="24"/>
        </w:rPr>
        <w:t>MongoDB</w:t>
      </w:r>
      <w:r>
        <w:rPr>
          <w:rFonts w:ascii="Times New Roman" w:hAnsi="Times New Roman"/>
          <w:sz w:val="24"/>
        </w:rPr>
        <w:t xml:space="preserve"> pour le LMS : un cours est une structure arborescente et hétérogène (modules, sections de natures variées, examens à questions et réponses) dont la souplesse documentaire évite une multiplication de tables et de jointures.</w:t>
      </w:r>
    </w:p>
    <w:p>
      <w:pPr>
        <w:pStyle w:val="ListBullet"/>
        <w:ind w:left="567"/>
        <w:jc w:val="both"/>
      </w:pPr>
      <w:r>
        <w:rPr>
          <w:rFonts w:ascii="Times New Roman" w:hAnsi="Times New Roman"/>
          <w:b/>
          <w:sz w:val="24"/>
        </w:rPr>
        <w:t>Next.js</w:t>
      </w:r>
      <w:r>
        <w:rPr>
          <w:rFonts w:ascii="Times New Roman" w:hAnsi="Times New Roman"/>
          <w:sz w:val="24"/>
        </w:rPr>
        <w:t xml:space="preserve"> pour les deux interfaces : l'organisation par routes facilite une navigation structurée par rôle, et le LMS étant lui-même servi par ce cadre, ses routes d'API en constituent le propre back-end.</w:t>
      </w:r>
    </w:p>
    <w:p>
      <w:pPr>
        <w:pStyle w:val="ListBullet"/>
        <w:ind w:left="567"/>
        <w:jc w:val="both"/>
      </w:pPr>
      <w:r>
        <w:rPr>
          <w:rFonts w:ascii="Times New Roman" w:hAnsi="Times New Roman"/>
          <w:b/>
          <w:sz w:val="24"/>
        </w:rPr>
        <w:t>Le jeton JWT (HS256) partagé</w:t>
      </w:r>
      <w:r>
        <w:rPr>
          <w:rFonts w:ascii="Times New Roman" w:hAnsi="Times New Roman"/>
          <w:sz w:val="24"/>
        </w:rPr>
        <w:t xml:space="preserve"> : c'est lui qui rend l'identité portable entre trois applications hétérogènes, sans annuaire centralisé ni session serveur à répliquer.</w:t>
      </w:r>
    </w:p>
    <w:p>
      <w:pPr>
        <w:pStyle w:val="Heading2"/>
      </w:pPr>
      <w:r>
        <w:rPr>
          <w:rFonts w:ascii="Times New Roman" w:hAnsi="Times New Roman"/>
          <w:color w:val="2E74B5"/>
          <w:sz w:val="28"/>
        </w:rPr>
        <w:t>4.3 Modèle de données</w:t>
      </w:r>
    </w:p>
    <w:p>
      <w:pPr>
        <w:spacing w:after="120"/>
        <w:ind w:firstLine="567"/>
        <w:jc w:val="both"/>
      </w:pPr>
      <w:r>
        <w:rPr>
          <w:rFonts w:ascii="Times New Roman" w:hAnsi="Times New Roman"/>
          <w:sz w:val="24"/>
        </w:rPr>
        <w:t>La persistance est répartie sur deux bases aux logiques distinctes, reliées non par une clé étrangère mais par une référence applicative.</w:t>
      </w:r>
    </w:p>
    <w:p>
      <w:pPr>
        <w:spacing w:after="120"/>
        <w:ind w:firstLine="567"/>
        <w:jc w:val="both"/>
      </w:pPr>
      <w:r>
        <w:rPr>
          <w:rFonts w:ascii="Times New Roman" w:hAnsi="Times New Roman"/>
          <w:sz w:val="24"/>
        </w:rPr>
        <w:t>La base relationnelle porte le référentiel de compétences et les acteurs. L'entité User est le pivot de l'identité ; elle se spécialise en trois profils — Candidate, Employee, Recruiter — selon le rôle. La compétence est globale : une table Skill, porteuse de son code ROME interne, est mutualisée, et les niveaux détenus sont matérialisés par deux tables d'association, CandidateSkill et EmployeeSkill, portant chacune un niveau de 1 à 4. Du côté des besoins, un poste (Job) exprime ses exigences par des JobRequirement (compétence, niveau requis, caractère obligatoire), et la candidature (Application) relie un candidat à un poste. L'organisation interne — unités (OrgUnit), rôles internes (InternalRole), permissions (Permission) — supporte l'organigramme et le contrôle d'accès. Les tables propres à une entreprise portent un identifiant d'entreprise qui assure l'isolation entre tenants ; candidats et compétences demeurent en revanche globaux, formant un vivier et un référentiel mutualisés.</w:t>
      </w:r>
    </w:p>
    <w:p>
      <w:pPr>
        <w:spacing w:after="120"/>
        <w:ind w:firstLine="567"/>
        <w:jc w:val="both"/>
      </w:pPr>
      <w:r>
        <w:rPr>
          <w:rFonts w:ascii="Times New Roman" w:hAnsi="Times New Roman"/>
          <w:sz w:val="24"/>
        </w:rPr>
        <w:t>La base documentaire porte le contenu pédagogique : un Course se décompose en Module puis en Section (support documentaire ou vidéo) et possède un examen final, le Quiz, composé de Question et d'Answer ; l'inscription (Enrollment) relie un apprenant à un cours. C'est ici qu'intervient le pont logique entre les deux bases : un Course porte l'identifiant et le niveau de la compétence RH qu'il valide, et une inscription porte l'identifiant de l'utilisateur RH. Cette référence croisée est précisément ce qui permet à la complétion d'un cours d'agir sur le référentiel de compétences relationnel.</w:t>
      </w:r>
    </w:p>
    <w:p>
      <w:pPr>
        <w:spacing w:before="120" w:after="200"/>
        <w:jc w:val="center"/>
      </w:pPr>
      <w:r>
        <w:rPr>
          <w:rFonts w:ascii="Times New Roman" w:hAnsi="Times New Roman"/>
          <w:i/>
          <w:color w:val="808080"/>
          <w:sz w:val="21"/>
        </w:rPr>
        <w:t>Figure 4.2 — Diagramme de classes du domaine (entités relationnelles et documentaires).</w:t>
      </w:r>
    </w:p>
    <w:p>
      <w:pPr>
        <w:pStyle w:val="Heading2"/>
      </w:pPr>
      <w:r>
        <w:rPr>
          <w:rFonts w:ascii="Times New Roman" w:hAnsi="Times New Roman"/>
          <w:color w:val="2E74B5"/>
          <w:sz w:val="28"/>
        </w:rPr>
        <w:t>4.4 Conception de la sécurité</w:t>
      </w:r>
    </w:p>
    <w:p>
      <w:pPr>
        <w:spacing w:after="120"/>
        <w:ind w:firstLine="567"/>
        <w:jc w:val="both"/>
      </w:pPr>
      <w:r>
        <w:rPr>
          <w:rFonts w:ascii="Times New Roman" w:hAnsi="Times New Roman"/>
          <w:sz w:val="24"/>
        </w:rPr>
        <w:t>La sécurité du système repose sur quatre piliers complémentaires.</w:t>
      </w:r>
    </w:p>
    <w:p>
      <w:pPr>
        <w:pStyle w:val="ListBullet"/>
        <w:ind w:left="567"/>
        <w:jc w:val="both"/>
      </w:pPr>
      <w:r>
        <w:rPr>
          <w:rFonts w:ascii="Times New Roman" w:hAnsi="Times New Roman"/>
          <w:b/>
          <w:sz w:val="24"/>
        </w:rPr>
        <w:t>Identité unifiée</w:t>
      </w:r>
      <w:r>
        <w:rPr>
          <w:rFonts w:ascii="Times New Roman" w:hAnsi="Times New Roman"/>
          <w:sz w:val="24"/>
        </w:rPr>
        <w:t xml:space="preserve"> : le jeton JWT signé avec le secret partagé authentifie l'utilisateur dans les trois applications ; le LMS valide ce même jeton et ne gère aucun compte en propre.</w:t>
      </w:r>
    </w:p>
    <w:p>
      <w:pPr>
        <w:pStyle w:val="ListBullet"/>
        <w:ind w:left="567"/>
        <w:jc w:val="both"/>
      </w:pPr>
      <w:r>
        <w:rPr>
          <w:rFonts w:ascii="Times New Roman" w:hAnsi="Times New Roman"/>
          <w:b/>
          <w:sz w:val="24"/>
        </w:rPr>
        <w:t>Autorisation à deux niveaux</w:t>
      </w:r>
      <w:r>
        <w:rPr>
          <w:rFonts w:ascii="Times New Roman" w:hAnsi="Times New Roman"/>
          <w:sz w:val="24"/>
        </w:rPr>
        <w:t xml:space="preserve"> : un rôle système (administrateur, recruteur, candidat, employé) gouverne l'accès macroscopique, tandis qu'au sein d'une entreprise un rôle interne porte des permissions atomiques, vérifiées à l'entrée des opérations sensibles.</w:t>
      </w:r>
    </w:p>
    <w:p>
      <w:pPr>
        <w:pStyle w:val="ListBullet"/>
        <w:ind w:left="567"/>
        <w:jc w:val="both"/>
      </w:pPr>
      <w:r>
        <w:rPr>
          <w:rFonts w:ascii="Times New Roman" w:hAnsi="Times New Roman"/>
          <w:b/>
          <w:sz w:val="24"/>
        </w:rPr>
        <w:t>Isolation multi-tenant</w:t>
      </w:r>
      <w:r>
        <w:rPr>
          <w:rFonts w:ascii="Times New Roman" w:hAnsi="Times New Roman"/>
          <w:sz w:val="24"/>
        </w:rPr>
        <w:t xml:space="preserve"> : toute requête portant sur des données d'entreprise est filtrée par l'identifiant d'entreprise de l'utilisateur, ce qui garantit qu'une entité n'accède pas aux données d'une autre.</w:t>
      </w:r>
    </w:p>
    <w:p>
      <w:pPr>
        <w:pStyle w:val="ListBullet"/>
        <w:ind w:left="567"/>
        <w:jc w:val="both"/>
      </w:pPr>
      <w:r>
        <w:rPr>
          <w:rFonts w:ascii="Times New Roman" w:hAnsi="Times New Roman"/>
          <w:b/>
          <w:sz w:val="24"/>
        </w:rPr>
        <w:t>Intégrité de l'évaluation</w:t>
      </w:r>
      <w:r>
        <w:rPr>
          <w:rFonts w:ascii="Times New Roman" w:hAnsi="Times New Roman"/>
          <w:sz w:val="24"/>
        </w:rPr>
        <w:t xml:space="preserve"> : la correction de l'examen est réalisée côté serveur, le corrigé n'étant jamais transmis au client. C'est la condition pour qu'une compétence ne soit validée que sur une preuve d'acquisition réelle, et non sur un score falsifiable.</w:t>
      </w:r>
    </w:p>
    <w:p>
      <w:pPr>
        <w:pStyle w:val="Heading2"/>
      </w:pPr>
      <w:r>
        <w:rPr>
          <w:rFonts w:ascii="Times New Roman" w:hAnsi="Times New Roman"/>
          <w:color w:val="2E74B5"/>
          <w:sz w:val="28"/>
        </w:rPr>
        <w:t>4.5 Conception des mécanismes du référentiel vivant</w:t>
      </w:r>
    </w:p>
    <w:p>
      <w:pPr>
        <w:spacing w:after="120"/>
        <w:ind w:firstLine="567"/>
        <w:jc w:val="both"/>
      </w:pPr>
      <w:r>
        <w:rPr>
          <w:rFonts w:ascii="Times New Roman" w:hAnsi="Times New Roman"/>
          <w:sz w:val="24"/>
        </w:rPr>
        <w:t>Le cœur de la contribution réside dans trois mécanismes conçus pour faire vivre le référentiel, c'est-à-dire le réalimenter en continu à partir des événements du parcours professionnel.</w:t>
      </w:r>
    </w:p>
    <w:p>
      <w:pPr>
        <w:spacing w:after="120"/>
        <w:ind w:firstLine="567"/>
        <w:jc w:val="both"/>
      </w:pPr>
      <w:r>
        <w:rPr>
          <w:rFonts w:ascii="Times New Roman" w:hAnsi="Times New Roman"/>
          <w:sz w:val="24"/>
        </w:rPr>
        <w:t>Le premier est la portabilité du profil. À l'acceptation d'une candidature, le profil du candidat — ses compétences et leurs niveaux — est recopié vers un profil employé, et le rôle système bascule vers « employé ». La donnée de compétence n'est ainsi pas perdue au passage du vivier de talents à l'organisation.</w:t>
      </w:r>
    </w:p>
    <w:p>
      <w:pPr>
        <w:spacing w:after="120"/>
        <w:ind w:firstLine="567"/>
        <w:jc w:val="both"/>
      </w:pPr>
      <w:r>
        <w:rPr>
          <w:rFonts w:ascii="Times New Roman" w:hAnsi="Times New Roman"/>
          <w:sz w:val="24"/>
        </w:rPr>
        <w:t>Le deuxième est la synchronisation entre formation et compétence. À la réussite de l'examen final, le LMS appelle le pont de l'API centrale, qui relève le niveau de la compétence concernée — jamais à la baisse — dans les deux profils de l'individu, candidat et employé. Ce double-écrit est ce qui rend la montée en compétence visible à la fois dans l'analyse de profil individuelle et dans la cartographie organisationnelle.</w:t>
      </w:r>
    </w:p>
    <w:p>
      <w:pPr>
        <w:spacing w:before="120" w:after="200"/>
        <w:jc w:val="center"/>
      </w:pPr>
      <w:r>
        <w:rPr>
          <w:rFonts w:ascii="Times New Roman" w:hAnsi="Times New Roman"/>
          <w:i/>
          <w:color w:val="808080"/>
          <w:sz w:val="21"/>
        </w:rPr>
        <w:t>Figure 4.3 — Diagramme de séquence de la boucle vivante : de la réussite d'un examen à la mise à jour de la compétence.</w:t>
      </w:r>
    </w:p>
    <w:p>
      <w:pPr>
        <w:spacing w:after="120"/>
        <w:ind w:firstLine="567"/>
        <w:jc w:val="both"/>
      </w:pPr>
      <w:r>
        <w:rPr>
          <w:rFonts w:ascii="Times New Roman" w:hAnsi="Times New Roman"/>
          <w:sz w:val="24"/>
        </w:rPr>
        <w:t>Le troisième mécanisme ferme la boucle aux deux échelles. À l'échelle de l'individu, le système confronte les compétences détenues à la demande réelle — les exigences des postes du domaine — pour suggérer des évolutions, sans jamais exposer les codes métiers sous-jacents. À l'échelle de l'organisation, il agrège les compétences des collaborateurs par domaine, mesure l'écart avec les postes ouverts et qualifie chaque compétence de couverte, partielle ou critique ; l'analyse débouche alors sur l'assignation directe de la formation qui comblera l'écart, laquelle réalimentera le référentiel à son tour.</w:t>
      </w:r>
    </w:p>
    <w:p>
      <w:pPr>
        <w:spacing w:after="120"/>
        <w:ind w:firstLine="567"/>
        <w:jc w:val="both"/>
      </w:pPr>
      <w:r>
        <w:rPr>
          <w:rFonts w:ascii="Times New Roman" w:hAnsi="Times New Roman"/>
          <w:sz w:val="24"/>
        </w:rPr>
        <w:t>Le moteur de matching qui sous-tend l'évaluation des candidats prolonge cette logique. Il calcule deux scores complémentaires : un score d'adéquation, qui pondère compétences, expérience et formation et pénalise l'absence des compétences obligatoires ; et un score de potentiel, fondé sur la proximité entre domaines métiers issue du référentiel ROME, qui estime la transférabilité des acquis vers le poste visé. Le premier répond à l'adéquation immédiate, le second à la capacité d'évolution — distinction directement issue du cadre théorique de la compétence.</w:t>
      </w:r>
    </w:p>
    <w:p>
      <w:pPr>
        <w:spacing w:before="120" w:after="200"/>
        <w:jc w:val="center"/>
      </w:pPr>
      <w:r>
        <w:rPr>
          <w:rFonts w:ascii="Times New Roman" w:hAnsi="Times New Roman"/>
          <w:i/>
          <w:color w:val="808080"/>
          <w:sz w:val="21"/>
        </w:rPr>
        <w:t>Figure 4.4 — Diagramme d'activité du cycle du référentiel vivant.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