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E79"/>
          <w:sz w:val="36"/>
        </w:rPr>
        <w:t>Chapitre 4 : Conception du système</w:t>
      </w:r>
    </w:p>
    <w:p>
      <w:pPr>
        <w:spacing w:after="120" w:line="276" w:lineRule="auto"/>
        <w:jc w:val="both"/>
      </w:pPr>
      <w:r>
        <w:rPr>
          <w:rFonts w:ascii="Times New Roman" w:hAnsi="Times New Roman"/>
          <w:i w:val="0"/>
          <w:sz w:val="24"/>
        </w:rPr>
        <w:t>Ce chapitre traduit les besoins établis au chapitre précédent en choix d'architecture et de conception. Ces choix ne sont pas gouvernés par la seule recherche d'une solution informatique fonctionnelle, mais par une exigence directrice issue de la problématique : faire du système numérique l'opérateur d'un référentiel de compétences vivant, c'est-à-dire un référentiel maintenu en cohérence par les apprentissages, les mobilités et les recrutements de chaque individu. Chaque décision de conception est donc rapportée, autant que possible, à la valeur métier et pédagogique qu'elle sert pour l'IFDC et, plus largement, pour une grande organisation publique en transformation de ses métiers.</w:t>
      </w:r>
    </w:p>
    <w:p>
      <w:pPr>
        <w:pStyle w:val="Heading2"/>
      </w:pPr>
      <w:r>
        <w:rPr>
          <w:rFonts w:ascii="Times New Roman" w:hAnsi="Times New Roman"/>
          <w:color w:val="1F4E79"/>
          <w:sz w:val="28"/>
        </w:rPr>
        <w:t>4.1 Démarche de conception</w:t>
      </w:r>
    </w:p>
    <w:p>
      <w:pPr>
        <w:spacing w:after="120" w:line="276" w:lineRule="auto"/>
        <w:jc w:val="both"/>
      </w:pPr>
      <w:r>
        <w:rPr>
          <w:rFonts w:ascii="Times New Roman" w:hAnsi="Times New Roman"/>
          <w:i w:val="0"/>
          <w:sz w:val="24"/>
        </w:rPr>
        <w:t>La conception a suivi une démarche de prototypage itératif plutôt qu'un cycle linéaire de type cascade. Ce choix méthodologique répond à la nature exploratoire du projet : la notion de « référentiel vivant » n'est pas un cahier des charges figé mais une hypothèse de travail qu'il fallait éprouver par la construction. Chaque itération produisait un prototype fonctionnel — un module gréé de bout en bout, du modèle de données à l'interface — qui servait de support de discussion avec les parties prenantes (formateurs, responsables RH, ingénieurs pédagogiques). Les enseignements de chaque cycle réorientaient le cycle suivant : c'est ainsi, par exemple, que la priorité a été progressivement déplacée des fonctions classiques d'un ATS vers les mécanismes de rétroaction qui constituent l'apport original du travail.</w:t>
      </w:r>
    </w:p>
    <w:p>
      <w:pPr>
        <w:spacing w:after="120" w:line="276" w:lineRule="auto"/>
        <w:jc w:val="both"/>
      </w:pPr>
      <w:r>
        <w:rPr>
          <w:rFonts w:ascii="Times New Roman" w:hAnsi="Times New Roman"/>
          <w:i w:val="0"/>
          <w:sz w:val="24"/>
        </w:rPr>
        <w:t>Cette démarche est cohérente avec l'objet du mémoire, situé à l'intersection de l'ingénierie des compétences, de l'ingénierie pédagogique et des systèmes d'information : elle permet de confronter en continu une conception conceptuelle (le modèle de compétences) à sa réalité logicielle, et d'éviter l'écueil d'un modèle théorique non opérationnalisable.</w:t>
      </w:r>
    </w:p>
    <w:p>
      <w:pPr>
        <w:pStyle w:val="Heading2"/>
      </w:pPr>
      <w:r>
        <w:rPr>
          <w:rFonts w:ascii="Times New Roman" w:hAnsi="Times New Roman"/>
          <w:color w:val="1F4E79"/>
          <w:sz w:val="28"/>
        </w:rPr>
        <w:t>4.2 Architecture générale</w:t>
      </w:r>
    </w:p>
    <w:p>
      <w:pPr>
        <w:spacing w:after="120" w:line="276" w:lineRule="auto"/>
        <w:jc w:val="both"/>
      </w:pPr>
      <w:r>
        <w:rPr>
          <w:rFonts w:ascii="Times New Roman" w:hAnsi="Times New Roman"/>
          <w:i w:val="0"/>
          <w:sz w:val="24"/>
        </w:rPr>
        <w:t>RecruitPRO n'est pas une application monolithique mais un assemblage de trois applications autonomes partageant une même identité numérique : une API centrale qui porte la logique RH et le référentiel de compétences, une interface RH destinée aux recruteurs, employés et candidats, et une plateforme de formation (LMS) autonome. Cette séparation traduit une réalité organisationnelle : dans une structure comme l'IFDC, la fonction de formation possède sa propre maîtrise d'ouvrage, ses propres contenus et son propre cycle de vie ; la coupler trop étroitement au cœur RH l'aurait rendue moins évolutive.</w:t>
      </w:r>
    </w:p>
    <w:p>
      <w:pPr>
        <w:spacing w:after="120" w:line="276" w:lineRule="auto"/>
        <w:jc w:val="both"/>
      </w:pPr>
      <w:r>
        <w:rPr>
          <w:rFonts w:ascii="Times New Roman" w:hAnsi="Times New Roman"/>
          <w:i w:val="0"/>
          <w:sz w:val="24"/>
        </w:rPr>
        <w:t>Le liant de cet ensemble est un jeton JWT, signé en HS256 avec un secret commun aux trois applications : une fois authentifié sur l'interface RH — seul point d'entrée du système — l'utilisateur circule vers le LMS sans nouvelle authentification. C'est ce mécanisme d'authentification inter-services qui rend concrète l'idée d'une identité de compétences unique traversant le recrutement, la mobilité et la formation.</w:t>
      </w:r>
    </w:p>
    <w:p>
      <w:pPr>
        <w:spacing w:before="80" w:after="200"/>
        <w:jc w:val="center"/>
      </w:pPr>
      <w:r>
        <w:rPr>
          <w:rFonts w:ascii="Times New Roman" w:hAnsi="Times New Roman"/>
          <w:i/>
          <w:color w:val="555555"/>
          <w:sz w:val="21"/>
        </w:rPr>
        <w:t>Figure 4.1 — Architecture générale : les trois applications, les deux bases de données, le jeton JWT partagé et les flux d'intégration.</w:t>
      </w:r>
    </w:p>
    <w:p>
      <w:pPr>
        <w:spacing w:after="120" w:line="276" w:lineRule="auto"/>
        <w:jc w:val="both"/>
      </w:pPr>
      <w:r>
        <w:rPr>
          <w:rFonts w:ascii="Times New Roman" w:hAnsi="Times New Roman"/>
          <w:i w:val="0"/>
          <w:sz w:val="24"/>
        </w:rPr>
        <w:t>L'API centrale est elle-même organisée en couches : des routeurs exposent les points d'accès REST et délèguent la logique métier à des services dédiés — matching, analyse de profil, GPEC — eux-mêmes appuyés sur des modèles de persistance. Cette stratification isole la logique de compétences, qui constitue le cœur de la contribution, des préoccupations d'exposition et de stockage.</w:t>
      </w:r>
    </w:p>
    <w:p>
      <w:pPr>
        <w:pStyle w:val="Heading2"/>
      </w:pPr>
      <w:r>
        <w:rPr>
          <w:rFonts w:ascii="Times New Roman" w:hAnsi="Times New Roman"/>
          <w:color w:val="1F4E79"/>
          <w:sz w:val="28"/>
        </w:rPr>
        <w:t>4.3 Choix technologiques</w:t>
      </w:r>
    </w:p>
    <w:p>
      <w:pPr>
        <w:spacing w:after="120" w:line="276" w:lineRule="auto"/>
        <w:jc w:val="both"/>
      </w:pPr>
      <w:r>
        <w:rPr>
          <w:rFonts w:ascii="Times New Roman" w:hAnsi="Times New Roman"/>
          <w:i w:val="0"/>
          <w:sz w:val="24"/>
        </w:rPr>
        <w:t>Les technologies ont été retenues au regard des contraintes propres au projet, et non par adhésion à une mode :</w:t>
      </w:r>
    </w:p>
    <w:p>
      <w:pPr>
        <w:pStyle w:val="ListBullet"/>
        <w:jc w:val="both"/>
      </w:pPr>
      <w:r>
        <w:rPr>
          <w:rFonts w:ascii="Times New Roman" w:hAnsi="Times New Roman"/>
          <w:sz w:val="24"/>
        </w:rPr>
        <w:t>FastAPI (Python) pour l'API : son système d'injection de dépendances exprime naturellement les règles d'autorisation — une vérification de permission à l'entrée de chaque point d'accès — et son écosystème scientifique facilite l'implémentation des traitements de scoring.</w:t>
      </w:r>
    </w:p>
    <w:p>
      <w:pPr>
        <w:pStyle w:val="ListBullet"/>
        <w:jc w:val="both"/>
      </w:pPr>
      <w:r>
        <w:rPr>
          <w:rFonts w:ascii="Times New Roman" w:hAnsi="Times New Roman"/>
          <w:sz w:val="24"/>
        </w:rPr>
        <w:t>PostgreSQL pour le cœur RH : les données — candidats, employés, postes, compétences, candidatures — sont fortement relationnelles et exigent des garanties transactionnelles, indispensables lorsqu'une acceptation de candidature déclenche en cascade la création d'un profil employé.</w:t>
      </w:r>
    </w:p>
    <w:p>
      <w:pPr>
        <w:pStyle w:val="ListBullet"/>
        <w:jc w:val="both"/>
      </w:pPr>
      <w:r>
        <w:rPr>
          <w:rFonts w:ascii="Times New Roman" w:hAnsi="Times New Roman"/>
          <w:sz w:val="24"/>
        </w:rPr>
        <w:t>MongoDB pour le LMS : un cours est une structure arborescente et hétérogène (modules, sections de natures variées, examens à questions et réponses) dont la souplesse documentaire s'accommode mal d'un schéma relationnel rigide.</w:t>
      </w:r>
    </w:p>
    <w:p>
      <w:pPr>
        <w:pStyle w:val="ListBullet"/>
        <w:jc w:val="both"/>
      </w:pPr>
      <w:r>
        <w:rPr>
          <w:rFonts w:ascii="Times New Roman" w:hAnsi="Times New Roman"/>
          <w:sz w:val="24"/>
        </w:rPr>
        <w:t>Next.js pour les deux interfaces : l'organisation par routes facilite une navigation structurée par rôle, et le LMS étant lui-même servi par ce cadre, ses routes applicatives tiennent lieu de backend de formation.</w:t>
      </w:r>
    </w:p>
    <w:p>
      <w:pPr>
        <w:pStyle w:val="ListBullet"/>
        <w:jc w:val="both"/>
      </w:pPr>
      <w:r>
        <w:rPr>
          <w:rFonts w:ascii="Times New Roman" w:hAnsi="Times New Roman"/>
          <w:sz w:val="24"/>
        </w:rPr>
        <w:t>Le jeton JWT (HS256) partagé : c'est lui qui rend l'identité portable entre trois applications hétérogènes, sans annuaire centralisé ni session serveur à répliquer.</w:t>
      </w:r>
    </w:p>
    <w:p>
      <w:pPr>
        <w:pStyle w:val="Heading2"/>
      </w:pPr>
      <w:r>
        <w:rPr>
          <w:rFonts w:ascii="Times New Roman" w:hAnsi="Times New Roman"/>
          <w:color w:val="1F4E79"/>
          <w:sz w:val="28"/>
        </w:rPr>
        <w:t>4.4 Modèle de données</w:t>
      </w:r>
    </w:p>
    <w:p>
      <w:pPr>
        <w:spacing w:after="120" w:line="276" w:lineRule="auto"/>
        <w:jc w:val="both"/>
      </w:pPr>
      <w:r>
        <w:rPr>
          <w:rFonts w:ascii="Times New Roman" w:hAnsi="Times New Roman"/>
          <w:i w:val="0"/>
          <w:sz w:val="24"/>
        </w:rPr>
        <w:t>La persistance est répartie sur deux bases aux logiques distinctes, reliées non par une clé étrangère mais par une référence applicative — l'identifiant numérique de l'utilisateur, transporté par le jeton, sert de pivot d'un univers à l'autre.</w:t>
      </w:r>
    </w:p>
    <w:p>
      <w:pPr>
        <w:spacing w:after="120" w:line="276" w:lineRule="auto"/>
        <w:jc w:val="both"/>
      </w:pPr>
      <w:r>
        <w:rPr>
          <w:rFonts w:ascii="Times New Roman" w:hAnsi="Times New Roman"/>
          <w:i w:val="0"/>
          <w:sz w:val="24"/>
        </w:rPr>
        <w:t>La base relationnelle porte le référentiel de compétences et les acteurs. L'entité Utilisateur est le pivot de l'identité ; elle se spécialise en trois profils — Candidat, Employé, Recruteur. La compétence (Skill) est l'entité centrale du référentiel : elle est globale et mutualisée, partagée par toutes les entreprises, et rattachée à un code métier ROME qui en fixe l'appartenance à un domaine. Le niveau de maîtrise, codé sur une échelle entière de 1 à 4, qualifie chaque association entre un acteur et une compétence (compétence candidat, compétence employé) comme entre un poste et une exigence.</w:t>
      </w:r>
    </w:p>
    <w:p>
      <w:pPr>
        <w:spacing w:after="120" w:line="276" w:lineRule="auto"/>
        <w:jc w:val="both"/>
      </w:pPr>
      <w:r>
        <w:rPr>
          <w:rFonts w:ascii="Times New Roman" w:hAnsi="Times New Roman"/>
          <w:i w:val="0"/>
          <w:sz w:val="24"/>
        </w:rPr>
        <w:t>La base documentaire porte le contenu pédagogique : un Cours se décompose en Modules puis en Sections (support documentaire ou vidéo) et possède un examen final, dont les questions et réponses sont stockées avec leur corrigé. Un Cours référence la compétence qu'il valide et le niveau qu'il atteste, établissant le pont sémantique entre l'univers pédagogique et le référentiel de compétences.</w:t>
      </w:r>
    </w:p>
    <w:p>
      <w:pPr>
        <w:spacing w:before="80" w:after="200"/>
        <w:jc w:val="center"/>
      </w:pPr>
      <w:r>
        <w:rPr>
          <w:rFonts w:ascii="Times New Roman" w:hAnsi="Times New Roman"/>
          <w:i/>
          <w:color w:val="555555"/>
          <w:sz w:val="21"/>
        </w:rPr>
        <w:t>Figure 4.2 — Diagramme de classes du domaine (entités relationnelles et documentaires).</w:t>
      </w:r>
    </w:p>
    <w:p>
      <w:pPr>
        <w:pStyle w:val="Heading2"/>
      </w:pPr>
      <w:r>
        <w:rPr>
          <w:rFonts w:ascii="Times New Roman" w:hAnsi="Times New Roman"/>
          <w:color w:val="1F4E79"/>
          <w:sz w:val="28"/>
        </w:rPr>
        <w:t>4.5 Conception de la sécurité et du multi-tenant</w:t>
      </w:r>
    </w:p>
    <w:p>
      <w:pPr>
        <w:spacing w:after="120" w:line="276" w:lineRule="auto"/>
        <w:jc w:val="both"/>
      </w:pPr>
      <w:r>
        <w:rPr>
          <w:rFonts w:ascii="Times New Roman" w:hAnsi="Times New Roman"/>
          <w:i w:val="0"/>
          <w:sz w:val="24"/>
        </w:rPr>
        <w:t>La sécurité du système repose sur quatre piliers complémentaires.</w:t>
      </w:r>
    </w:p>
    <w:p>
      <w:pPr>
        <w:pStyle w:val="ListBullet"/>
        <w:jc w:val="both"/>
      </w:pPr>
      <w:r>
        <w:rPr>
          <w:rFonts w:ascii="Times New Roman" w:hAnsi="Times New Roman"/>
          <w:sz w:val="24"/>
        </w:rPr>
        <w:t>Identité unifiée : le jeton JWT signé avec le secret partagé authentifie l'utilisateur dans les trois applications ; le LMS valide ce même jeton et ne gère aucune base de mots de passe propre.</w:t>
      </w:r>
    </w:p>
    <w:p>
      <w:pPr>
        <w:pStyle w:val="ListBullet"/>
        <w:jc w:val="both"/>
      </w:pPr>
      <w:r>
        <w:rPr>
          <w:rFonts w:ascii="Times New Roman" w:hAnsi="Times New Roman"/>
          <w:sz w:val="24"/>
        </w:rPr>
        <w:t>Autorisation à deux niveaux : un rôle système (administrateur, recruteur, candidat, employé) gouverne l'accès macroscopique, tandis qu'au sein d'une entreprise un rôle interne porteur de permissions granulaires règle finement ce que chaque collaborateur peut faire.</w:t>
      </w:r>
    </w:p>
    <w:p>
      <w:pPr>
        <w:pStyle w:val="ListBullet"/>
        <w:jc w:val="both"/>
      </w:pPr>
      <w:r>
        <w:rPr>
          <w:rFonts w:ascii="Times New Roman" w:hAnsi="Times New Roman"/>
          <w:sz w:val="24"/>
        </w:rPr>
        <w:t>Isolation multi-tenant : toute requête portant sur des données d'entreprise est filtrée par l'identifiant d'entreprise de l'utilisateur, ce qui garantit qu'une organisation ne voit jamais les données d'une autre, alors même que le référentiel de compétences et le vivier de candidats demeurent mutualisés.</w:t>
      </w:r>
    </w:p>
    <w:p>
      <w:pPr>
        <w:pStyle w:val="ListBullet"/>
        <w:jc w:val="both"/>
      </w:pPr>
      <w:r>
        <w:rPr>
          <w:rFonts w:ascii="Times New Roman" w:hAnsi="Times New Roman"/>
          <w:sz w:val="24"/>
        </w:rPr>
        <w:t>Intégrité de l'évaluation : la correction de l'examen est réalisée côté serveur, le corrigé n'étant jamais transmis au client. C'est la condition pour qu'une compétence ne puisse être validée que par une preuve d'acquisition effective, et non auto-déclarée.</w:t>
      </w:r>
    </w:p>
    <w:p>
      <w:pPr>
        <w:pStyle w:val="Heading2"/>
      </w:pPr>
      <w:r>
        <w:rPr>
          <w:rFonts w:ascii="Times New Roman" w:hAnsi="Times New Roman"/>
          <w:color w:val="1F4E79"/>
          <w:sz w:val="28"/>
        </w:rPr>
        <w:t>4.6 Conception des mécanismes du référentiel vivant</w:t>
      </w:r>
    </w:p>
    <w:p>
      <w:pPr>
        <w:spacing w:after="120" w:line="276" w:lineRule="auto"/>
        <w:jc w:val="both"/>
      </w:pPr>
      <w:r>
        <w:rPr>
          <w:rFonts w:ascii="Times New Roman" w:hAnsi="Times New Roman"/>
          <w:i w:val="0"/>
          <w:sz w:val="24"/>
        </w:rPr>
        <w:t>Le cœur de la contribution réside dans trois mécanismes conçus pour faire vivre le référentiel, c'est-à-dire le réalimenter en continu à partir des événements de la vie professionnelle. Il importe d'être précis sur ce qui est « vivant » : ce qui évolue en permanence, c'est l'instanciation du référentiel pour chaque individu — son profil de compétences se met à jour à mesure qu'il se forme, postule ou évolue ; la structure du référentiel (l'inventaire des compétences et des métiers) reste, elle, maintenue par l'organisation.</w:t>
      </w:r>
    </w:p>
    <w:p>
      <w:pPr>
        <w:spacing w:after="120" w:line="276" w:lineRule="auto"/>
        <w:jc w:val="both"/>
      </w:pPr>
      <w:r>
        <w:rPr>
          <w:rFonts w:ascii="Times New Roman" w:hAnsi="Times New Roman"/>
          <w:i w:val="0"/>
          <w:sz w:val="24"/>
        </w:rPr>
        <w:t>Le premier mécanisme est la portabilité du profil (BF-06). À l'acceptation d'une candidature, le profil du candidat — ses compétences et leurs niveaux — est recopié vers un profil employé nouvellement créé, et son rôle système bascule. L'identité de compétences acquise lors du recrutement n'est pas perdue : elle devient le socle de la trajectoire interne.</w:t>
      </w:r>
    </w:p>
    <w:p>
      <w:pPr>
        <w:spacing w:after="120" w:line="276" w:lineRule="auto"/>
        <w:jc w:val="both"/>
      </w:pPr>
      <w:r>
        <w:rPr>
          <w:rFonts w:ascii="Times New Roman" w:hAnsi="Times New Roman"/>
          <w:i w:val="0"/>
          <w:sz w:val="24"/>
        </w:rPr>
        <w:t>Le deuxième est la synchronisation entre formation et compétence (BF-16). À la réussite de l'examen final, le LMS appelle le pont de l'API centrale, qui relève le niveau de la compétence validée dans le profil de l'apprenant — qu'il soit candidat ou employé. La règle de conception est stricte : le niveau est relevé mais jamais abaissé ; la formation ne peut que faire progresser la maîtrise attestée.</w:t>
      </w:r>
    </w:p>
    <w:p>
      <w:pPr>
        <w:spacing w:before="80" w:after="200"/>
        <w:jc w:val="center"/>
      </w:pPr>
      <w:r>
        <w:rPr>
          <w:rFonts w:ascii="Times New Roman" w:hAnsi="Times New Roman"/>
          <w:i/>
          <w:color w:val="555555"/>
          <w:sz w:val="21"/>
        </w:rPr>
        <w:t>Figure 4.3 — Diagramme de séquence de la boucle vivante : de la réussite d'un examen à la mise à jour de la compétence.</w:t>
      </w:r>
    </w:p>
    <w:p>
      <w:pPr>
        <w:spacing w:after="120" w:line="276" w:lineRule="auto"/>
        <w:jc w:val="both"/>
      </w:pPr>
      <w:r>
        <w:rPr>
          <w:rFonts w:ascii="Times New Roman" w:hAnsi="Times New Roman"/>
          <w:i w:val="0"/>
          <w:sz w:val="24"/>
        </w:rPr>
        <w:t>Le troisième mécanisme ferme la boucle aux deux échelles (BF-17 et BF-18). À l'échelle de l'individu, le système confronte les compétences détenues à la demande réelle — les exigences des postes — pour identifier points forts et écarts et suggérer des évolutions. À l'échelle de l'organisation, la démarche GPEC agrège ces écarts en une cartographie des tensions et permet, depuis celle-ci, d'assigner la formation qui referme l'écart. La boucle est alors complète : un écart constaté déclenche une formation, dont la réussite relève la compétence, ce qui résorbe l'écart dans la cartographie.</w:t>
      </w:r>
    </w:p>
    <w:p>
      <w:pPr>
        <w:spacing w:after="120" w:line="276" w:lineRule="auto"/>
        <w:jc w:val="both"/>
      </w:pPr>
      <w:r>
        <w:rPr>
          <w:rFonts w:ascii="Times New Roman" w:hAnsi="Times New Roman"/>
          <w:i w:val="0"/>
          <w:sz w:val="24"/>
        </w:rPr>
        <w:t>Il convient ici d'une honnêteté conceptuelle : la capacité d'évolution mesurée — le score de potentiel — est un proxy structurel fondé sur l'adjacence des domaines métiers (référentiel ROME), et non une mesure de l'aptitude personnelle à apprendre. Cette quatrième dimension, le savoir-évoluer, complète les classiques savoir, savoir-faire et savoir-être, mais les dimensions du vouloir-agir et du pouvoir-agir restent, elles, des limites assumées du modèle.</w:t>
      </w:r>
    </w:p>
    <w:p>
      <w:pPr>
        <w:spacing w:after="120" w:line="276" w:lineRule="auto"/>
        <w:jc w:val="both"/>
      </w:pPr>
      <w:r>
        <w:rPr>
          <w:rFonts w:ascii="Times New Roman" w:hAnsi="Times New Roman"/>
          <w:i w:val="0"/>
          <w:sz w:val="24"/>
        </w:rPr>
        <w:t>Le moteur de matching qui sous-tend l'évaluation des candidats prolonge cette logique. Il calcule deux scores complémentaires : un score d'adéquation (fit), qui pondère les compétences (60 %), l'expérience (25 %) et la formation (15 %), en comptant double les exigences obligatoires et en appliquant une pénalité dégressive par compétence obligatoire manquante ; et un score de potentiel, qui mesure la trainabilité du candidat par l'adjacence ROME (même sous-domaine, même domaine, ou non relié) augmentée d'un bonus de certification. De ces deux axes découle une recommandation — adéquation forte, potentiel, ou adéquation faible — qui distingue le candidat déjà compétent de celui qui le deviendra par la formation. C'est cette distinction qui matérialise, dans l'outil de recrutement, la philosophie du référentiel vivant.</w:t>
      </w:r>
    </w:p>
    <w:p>
      <w:pPr>
        <w:spacing w:before="80" w:after="200"/>
        <w:jc w:val="center"/>
      </w:pPr>
      <w:r>
        <w:rPr>
          <w:rFonts w:ascii="Times New Roman" w:hAnsi="Times New Roman"/>
          <w:i/>
          <w:color w:val="555555"/>
          <w:sz w:val="21"/>
        </w:rPr>
        <w:t>Figure 4.4 — Diagramme d'activité du cycle du référentiel vivant.</w:t>
      </w:r>
    </w:p>
    <w:p>
      <w:pPr>
        <w:pStyle w:val="Heading2"/>
      </w:pPr>
      <w:r>
        <w:rPr>
          <w:rFonts w:ascii="Times New Roman" w:hAnsi="Times New Roman"/>
          <w:color w:val="1F4E79"/>
          <w:sz w:val="28"/>
        </w:rPr>
        <w:t>4.7 Conception pédagogique : aligner la formation sur la compétence</w:t>
      </w:r>
    </w:p>
    <w:p>
      <w:pPr>
        <w:spacing w:after="120" w:line="276" w:lineRule="auto"/>
        <w:jc w:val="both"/>
      </w:pPr>
      <w:r>
        <w:rPr>
          <w:rFonts w:ascii="Times New Roman" w:hAnsi="Times New Roman"/>
          <w:i w:val="0"/>
          <w:sz w:val="24"/>
        </w:rPr>
        <w:t>La dimension d'ingénierie pédagogique du projet ne réside pas seulement dans l'existence d'un LMS, mais dans la façon dont la formation est articulée au référentiel de compétences. Le principe directeur est celui d'un alignement pédagogique : chaque cours est conçu en partant non du contenu, mais de la cible — la compétence à acquérir et le niveau de maîtrise visé.</w:t>
      </w:r>
    </w:p>
    <w:p>
      <w:pPr>
        <w:spacing w:after="120" w:line="276" w:lineRule="auto"/>
        <w:jc w:val="both"/>
      </w:pPr>
      <w:r>
        <w:rPr>
          <w:rFonts w:ascii="Times New Roman" w:hAnsi="Times New Roman"/>
          <w:i w:val="0"/>
          <w:sz w:val="24"/>
        </w:rPr>
        <w:t>Concrètement, la conception d'un parcours obéit à une chaîne d'alignement à trois maillons. La compétence et son niveau cible (de 1 à 4) constituent l'objectif d'apprentissage ; le contenu — modules et sections — constitue le parcours qui mène à cet objectif ; l'examen final constitue la preuve d'acquisition, dont la réussite, et elle seule, autorise la mise à jour du niveau dans le référentiel. Cette cohérence entre objectif, activité et évaluation est, en ingénierie pédagogique, la condition d'une formation effective.</w:t>
      </w:r>
    </w:p>
    <w:p>
      <w:pPr>
        <w:spacing w:after="120" w:line="276" w:lineRule="auto"/>
        <w:jc w:val="both"/>
      </w:pPr>
      <w:r>
        <w:rPr>
          <w:rFonts w:ascii="Times New Roman" w:hAnsi="Times New Roman"/>
          <w:i w:val="0"/>
          <w:sz w:val="24"/>
        </w:rPr>
        <w:t>L'échelle de maîtrise à quatre niveaux — Initiation, Opérationnel, Autonomie, Expertise — donne à cet alignement une sémantique commune. Dérivée du modèle d'acquisition des compétences de Dreyfus (ramené de cinq à quatre paliers), elle fournit un langage partagé entre le recruteur qui exprime une exigence, l'ingénieur pédagogique qui dimensionne un parcours et l'apprenant qui mesure sa progression. Une formation ne se contente donc pas d'« exister » dans le catalogue : elle déclare le palier qu'elle permet d'atteindre, et c'est ce palier qui sera inscrit dans le profil au terme de l'évaluation.</w:t>
      </w:r>
    </w:p>
    <w:p>
      <w:pPr>
        <w:spacing w:after="120" w:line="276" w:lineRule="auto"/>
        <w:jc w:val="both"/>
      </w:pPr>
      <w:r>
        <w:rPr>
          <w:rFonts w:ascii="Times New Roman" w:hAnsi="Times New Roman"/>
          <w:i w:val="0"/>
          <w:sz w:val="24"/>
        </w:rPr>
        <w:t>Cette conception s'inscrit dans la filiation des travaux sur les ontologies de compétences et les référentiels normalisés tels qu'ESCO, qui visent à donner un langage commun aux compétences, aux métiers et aux formations. Le projet en retient l'esprit — relier explicitement formation et compétence par une référence sémantique — tout en l'opérationnalisant à l'échelle d'une organisation et en l'ouvrant, par la traçabilité de la progression, aux perspectives de l'analytique de l'apprentissage (learning analytics).</w:t>
      </w:r>
    </w:p>
    <w:p>
      <w:pPr>
        <w:pStyle w:val="Heading2"/>
      </w:pPr>
      <w:r>
        <w:rPr>
          <w:rFonts w:ascii="Times New Roman" w:hAnsi="Times New Roman"/>
          <w:color w:val="1F4E79"/>
          <w:sz w:val="28"/>
        </w:rPr>
        <w:t>4.8 Du prototype au terrain : transposition au contexte ONCF/IFDC</w:t>
      </w:r>
    </w:p>
    <w:p>
      <w:pPr>
        <w:spacing w:after="120" w:line="276" w:lineRule="auto"/>
        <w:jc w:val="both"/>
      </w:pPr>
      <w:r>
        <w:rPr>
          <w:rFonts w:ascii="Times New Roman" w:hAnsi="Times New Roman"/>
          <w:i w:val="0"/>
          <w:sz w:val="24"/>
        </w:rPr>
        <w:t>Les jeux de données mobilisés pour la démonstration reposent sur une entreprise fictive et des compétences du domaine numérique. Ce choix est délibéré et purement illustratif : il fournit un terrain neutre, anonymisé et reproductible pour éprouver les mécanismes, sans exposer de données réelles d'agents ou de métiers de l'ONCF. La conception du système est toutefois indépendante de ce domaine d'illustration.</w:t>
      </w:r>
    </w:p>
    <w:p>
      <w:pPr>
        <w:spacing w:after="120" w:line="276" w:lineRule="auto"/>
        <w:jc w:val="both"/>
      </w:pPr>
      <w:r>
        <w:rPr>
          <w:rFonts w:ascii="Times New Roman" w:hAnsi="Times New Roman"/>
          <w:i w:val="0"/>
          <w:sz w:val="24"/>
        </w:rPr>
        <w:t>La transposition au contexte ferroviaire de l'ONCF est immédiate, parce que le référentiel de compétences s'appuie sur la nomenclature métiers ROME, qui couvre l'ensemble des familles professionnelles. Les métiers cœur de l'ONCF y trouvent leur place : la maintenance des matériels et infrastructures relève par exemple du domaine ROME N2102, l'exploitation et la conduite des transports du domaine N4101. Substituer aux compétences numériques de la démonstration les compétences ferroviaires correspondantes — diagnostic d'organes, signalisation, sécurité circulation, conduite — ne modifie ni le modèle de données, ni le moteur de scoring, ni les mécanismes de boucle vivante : seul change le contenu du référentiel, qui est précisément la part destinée à être maintenue par l'organisation. C'est là un atout pour l'IFDC, dont la mission de développement des compétences et d'accompagnement de la transformation des métiers du groupe trouve dans ce dispositif un outil directement transposable.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