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497D"/>
          <w:sz w:val="32"/>
        </w:rPr>
        <w:t>Chapitre 5 : Réalisation</w:t>
      </w:r>
    </w:p>
    <w:p>
      <w:pPr>
        <w:spacing w:after="120"/>
        <w:ind w:firstLine="567"/>
        <w:jc w:val="both"/>
      </w:pPr>
      <w:r>
        <w:rPr>
          <w:rFonts w:ascii="Times New Roman" w:hAnsi="Times New Roman"/>
          <w:sz w:val="24"/>
        </w:rPr>
        <w:t>Ce chapitre rend compte de la mise en œuvre du système conçu au chapitre précédent. Il décrit l'environnement de réalisation (5.1), dresse la traçabilité des besoins effectivement réalisés (5.2), présente les interfaces produites (5.3), puis rapporte la validation fonctionnelle du référentiel vivant (5.4).</w:t>
      </w:r>
    </w:p>
    <w:p>
      <w:pPr>
        <w:pStyle w:val="Heading2"/>
      </w:pPr>
      <w:r>
        <w:rPr>
          <w:rFonts w:ascii="Times New Roman" w:hAnsi="Times New Roman"/>
          <w:color w:val="2E74B5"/>
          <w:sz w:val="28"/>
        </w:rPr>
        <w:t>5.1 Environnement de réalisation</w:t>
      </w:r>
    </w:p>
    <w:p>
      <w:pPr>
        <w:spacing w:after="120"/>
        <w:ind w:firstLine="567"/>
        <w:jc w:val="both"/>
      </w:pPr>
      <w:r>
        <w:rPr>
          <w:rFonts w:ascii="Times New Roman" w:hAnsi="Times New Roman"/>
          <w:sz w:val="24"/>
        </w:rPr>
        <w:t>Le système est constitué de trois applications exécutées indépendamment : l'API centrale, servie par un serveur ASGI sur le port 8000 ; l'interface RH sur le port 3000 ; et le LMS sur le port 3001. Deux serveurs de bases de données les accompagnent — PostgreSQL pour le cœur relationnel, MongoDB pour le contenu pédagogique. L'évolution du schéma relationnel est pilotée par des migrations versionnées, et des scripts d'amorçage peuplent une base de démonstration cohérente (entreprise, recruteurs, postes, candidats et compétences). Cette indépendance des trois services traduit, au plan de l'exécution, la séparation conçue au chapitre 4 : chaque application se développe, se déploie et redémarre sans interrompre les autres, l'identité circulant par le jeton partagé.</w:t>
      </w:r>
    </w:p>
    <w:p>
      <w:pPr>
        <w:pStyle w:val="Heading2"/>
      </w:pPr>
      <w:r>
        <w:rPr>
          <w:rFonts w:ascii="Times New Roman" w:hAnsi="Times New Roman"/>
          <w:color w:val="2E74B5"/>
          <w:sz w:val="28"/>
        </w:rPr>
        <w:t>5.2 Traçabilité des besoins réalisés</w:t>
      </w:r>
    </w:p>
    <w:p>
      <w:pPr>
        <w:spacing w:after="120"/>
        <w:ind w:firstLine="567"/>
        <w:jc w:val="both"/>
      </w:pPr>
      <w:r>
        <w:rPr>
          <w:rFonts w:ascii="Times New Roman" w:hAnsi="Times New Roman"/>
          <w:sz w:val="24"/>
        </w:rPr>
        <w:t>L'ensemble des besoins fonctionnels spécifiés au chapitre 3 a été réalisé. Le tableau de traçabilité ci-dessous établit la correspondance entre chaque besoin et sa réalisation effective.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Times New Roman" w:hAnsi="Times New Roman"/>
                <w:b/>
                <w:color w:val="FFFFFF"/>
                <w:sz w:val="21"/>
              </w:rPr>
              <w:t>Code</w:t>
            </w:r>
          </w:p>
        </w:tc>
        <w:tc>
          <w:tcPr>
            <w:tcW w:type="dxa" w:w="3041"/>
            <w:shd w:val="clear" w:color="auto" w:fill="1F497D"/>
          </w:tcPr>
          <w:p>
            <w:pPr>
              <w:jc w:val="center"/>
            </w:pPr>
            <w:r>
              <w:rPr>
                <w:rFonts w:ascii="Times New Roman" w:hAnsi="Times New Roman"/>
                <w:b/>
                <w:color w:val="FFFFFF"/>
                <w:sz w:val="21"/>
              </w:rPr>
              <w:t>Besoin</w:t>
            </w:r>
          </w:p>
        </w:tc>
        <w:tc>
          <w:tcPr>
            <w:tcW w:type="dxa" w:w="3041"/>
            <w:shd w:val="clear" w:color="auto" w:fill="1F497D"/>
          </w:tcPr>
          <w:p>
            <w:pPr>
              <w:jc w:val="center"/>
            </w:pPr>
            <w:r>
              <w:rPr>
                <w:rFonts w:ascii="Times New Roman" w:hAnsi="Times New Roman"/>
                <w:b/>
                <w:color w:val="FFFFFF"/>
                <w:sz w:val="21"/>
              </w:rPr>
              <w:t>Statut</w:t>
            </w:r>
          </w:p>
        </w:tc>
      </w:tr>
      <w:tr>
        <w:tc>
          <w:tcPr>
            <w:tcW w:type="dxa" w:w="3041"/>
          </w:tcPr>
          <w:p>
            <w:r>
              <w:rPr>
                <w:rFonts w:ascii="Times New Roman" w:hAnsi="Times New Roman"/>
                <w:b/>
                <w:sz w:val="21"/>
              </w:rPr>
              <w:t>BF-01</w:t>
            </w:r>
          </w:p>
        </w:tc>
        <w:tc>
          <w:tcPr>
            <w:tcW w:type="dxa" w:w="3041"/>
          </w:tcPr>
          <w:p>
            <w:r>
              <w:rPr>
                <w:rFonts w:ascii="Times New Roman" w:hAnsi="Times New Roman"/>
                <w:sz w:val="21"/>
              </w:rPr>
              <w:t>Publication d'offres avec compétences requises (niveau, caractère obligatoire)</w:t>
            </w:r>
          </w:p>
        </w:tc>
        <w:tc>
          <w:tcPr>
            <w:tcW w:type="dxa" w:w="3041"/>
          </w:tcPr>
          <w:p>
            <w:r>
              <w:rPr>
                <w:rFonts w:ascii="Times New Roman" w:hAnsi="Times New Roman"/>
                <w:sz w:val="21"/>
              </w:rPr>
              <w:t>Réalisé</w:t>
            </w:r>
          </w:p>
        </w:tc>
      </w:tr>
      <w:tr>
        <w:tc>
          <w:tcPr>
            <w:tcW w:type="dxa" w:w="3041"/>
            <w:shd w:val="clear" w:color="auto" w:fill="EAF1F8"/>
          </w:tcPr>
          <w:p>
            <w:r>
              <w:rPr>
                <w:rFonts w:ascii="Times New Roman" w:hAnsi="Times New Roman"/>
                <w:b/>
                <w:sz w:val="21"/>
              </w:rPr>
              <w:t>BF-02</w:t>
            </w:r>
          </w:p>
        </w:tc>
        <w:tc>
          <w:tcPr>
            <w:tcW w:type="dxa" w:w="3041"/>
            <w:shd w:val="clear" w:color="auto" w:fill="EAF1F8"/>
          </w:tcPr>
          <w:p>
            <w:r>
              <w:rPr>
                <w:rFonts w:ascii="Times New Roman" w:hAnsi="Times New Roman"/>
                <w:sz w:val="21"/>
              </w:rPr>
              <w:t>Construction guidée et libre du profil candidat</w:t>
            </w:r>
          </w:p>
        </w:tc>
        <w:tc>
          <w:tcPr>
            <w:tcW w:type="dxa" w:w="3041"/>
            <w:shd w:val="clear" w:color="auto" w:fill="EAF1F8"/>
          </w:tcPr>
          <w:p>
            <w:r>
              <w:rPr>
                <w:rFonts w:ascii="Times New Roman" w:hAnsi="Times New Roman"/>
                <w:sz w:val="21"/>
              </w:rPr>
              <w:t>Réalisé</w:t>
            </w:r>
          </w:p>
        </w:tc>
      </w:tr>
      <w:tr>
        <w:tc>
          <w:tcPr>
            <w:tcW w:type="dxa" w:w="3041"/>
          </w:tcPr>
          <w:p>
            <w:r>
              <w:rPr>
                <w:rFonts w:ascii="Times New Roman" w:hAnsi="Times New Roman"/>
                <w:b/>
                <w:sz w:val="21"/>
              </w:rPr>
              <w:t>BF-03</w:t>
            </w:r>
          </w:p>
        </w:tc>
        <w:tc>
          <w:tcPr>
            <w:tcW w:type="dxa" w:w="3041"/>
          </w:tcPr>
          <w:p>
            <w:r>
              <w:rPr>
                <w:rFonts w:ascii="Times New Roman" w:hAnsi="Times New Roman"/>
                <w:sz w:val="21"/>
              </w:rPr>
              <w:t>Invitation d'un candidat à postuler</w:t>
            </w:r>
          </w:p>
        </w:tc>
        <w:tc>
          <w:tcPr>
            <w:tcW w:type="dxa" w:w="3041"/>
          </w:tcPr>
          <w:p>
            <w:r>
              <w:rPr>
                <w:rFonts w:ascii="Times New Roman" w:hAnsi="Times New Roman"/>
                <w:sz w:val="21"/>
              </w:rPr>
              <w:t>Réalisé</w:t>
            </w:r>
          </w:p>
        </w:tc>
      </w:tr>
      <w:tr>
        <w:tc>
          <w:tcPr>
            <w:tcW w:type="dxa" w:w="3041"/>
            <w:shd w:val="clear" w:color="auto" w:fill="EAF1F8"/>
          </w:tcPr>
          <w:p>
            <w:r>
              <w:rPr>
                <w:rFonts w:ascii="Times New Roman" w:hAnsi="Times New Roman"/>
                <w:b/>
                <w:sz w:val="21"/>
              </w:rPr>
              <w:t>BF-04</w:t>
            </w:r>
          </w:p>
        </w:tc>
        <w:tc>
          <w:tcPr>
            <w:tcW w:type="dxa" w:w="3041"/>
            <w:shd w:val="clear" w:color="auto" w:fill="EAF1F8"/>
          </w:tcPr>
          <w:p>
            <w:r>
              <w:rPr>
                <w:rFonts w:ascii="Times New Roman" w:hAnsi="Times New Roman"/>
                <w:sz w:val="21"/>
              </w:rPr>
              <w:t>Scores d'adéquation et de potentiel, détail des écarts</w:t>
            </w:r>
          </w:p>
        </w:tc>
        <w:tc>
          <w:tcPr>
            <w:tcW w:type="dxa" w:w="3041"/>
            <w:shd w:val="clear" w:color="auto" w:fill="EAF1F8"/>
          </w:tcPr>
          <w:p>
            <w:r>
              <w:rPr>
                <w:rFonts w:ascii="Times New Roman" w:hAnsi="Times New Roman"/>
                <w:sz w:val="21"/>
              </w:rPr>
              <w:t>Réalisé</w:t>
            </w:r>
          </w:p>
        </w:tc>
      </w:tr>
      <w:tr>
        <w:tc>
          <w:tcPr>
            <w:tcW w:type="dxa" w:w="3041"/>
          </w:tcPr>
          <w:p>
            <w:r>
              <w:rPr>
                <w:rFonts w:ascii="Times New Roman" w:hAnsi="Times New Roman"/>
                <w:b/>
                <w:sz w:val="21"/>
              </w:rPr>
              <w:t>BF-05</w:t>
            </w:r>
          </w:p>
        </w:tc>
        <w:tc>
          <w:tcPr>
            <w:tcW w:type="dxa" w:w="3041"/>
          </w:tcPr>
          <w:p>
            <w:r>
              <w:rPr>
                <w:rFonts w:ascii="Times New Roman" w:hAnsi="Times New Roman"/>
                <w:sz w:val="21"/>
              </w:rPr>
              <w:t>Pipeline de candidatures (tableau Kanban)</w:t>
            </w:r>
          </w:p>
        </w:tc>
        <w:tc>
          <w:tcPr>
            <w:tcW w:type="dxa" w:w="3041"/>
          </w:tcPr>
          <w:p>
            <w:r>
              <w:rPr>
                <w:rFonts w:ascii="Times New Roman" w:hAnsi="Times New Roman"/>
                <w:sz w:val="21"/>
              </w:rPr>
              <w:t>Réalisé</w:t>
            </w:r>
          </w:p>
        </w:tc>
      </w:tr>
      <w:tr>
        <w:tc>
          <w:tcPr>
            <w:tcW w:type="dxa" w:w="3041"/>
            <w:shd w:val="clear" w:color="auto" w:fill="EAF1F8"/>
          </w:tcPr>
          <w:p>
            <w:r>
              <w:rPr>
                <w:rFonts w:ascii="Times New Roman" w:hAnsi="Times New Roman"/>
                <w:b/>
                <w:sz w:val="21"/>
              </w:rPr>
              <w:t>BF-06</w:t>
            </w:r>
          </w:p>
        </w:tc>
        <w:tc>
          <w:tcPr>
            <w:tcW w:type="dxa" w:w="3041"/>
            <w:shd w:val="clear" w:color="auto" w:fill="EAF1F8"/>
          </w:tcPr>
          <w:p>
            <w:r>
              <w:rPr>
                <w:rFonts w:ascii="Times New Roman" w:hAnsi="Times New Roman"/>
                <w:sz w:val="21"/>
              </w:rPr>
              <w:t>Transfert automatique du profil candidat vers employé</w:t>
            </w:r>
          </w:p>
        </w:tc>
        <w:tc>
          <w:tcPr>
            <w:tcW w:type="dxa" w:w="3041"/>
            <w:shd w:val="clear" w:color="auto" w:fill="EAF1F8"/>
          </w:tcPr>
          <w:p>
            <w:r>
              <w:rPr>
                <w:rFonts w:ascii="Times New Roman" w:hAnsi="Times New Roman"/>
                <w:sz w:val="21"/>
              </w:rPr>
              <w:t>Réalisé</w:t>
            </w:r>
          </w:p>
        </w:tc>
      </w:tr>
      <w:tr>
        <w:tc>
          <w:tcPr>
            <w:tcW w:type="dxa" w:w="3041"/>
          </w:tcPr>
          <w:p>
            <w:r>
              <w:rPr>
                <w:rFonts w:ascii="Times New Roman" w:hAnsi="Times New Roman"/>
                <w:b/>
                <w:sz w:val="21"/>
              </w:rPr>
              <w:t>BF-07</w:t>
            </w:r>
          </w:p>
        </w:tc>
        <w:tc>
          <w:tcPr>
            <w:tcW w:type="dxa" w:w="3041"/>
          </w:tcPr>
          <w:p>
            <w:r>
              <w:rPr>
                <w:rFonts w:ascii="Times New Roman" w:hAnsi="Times New Roman"/>
                <w:sz w:val="21"/>
              </w:rPr>
              <w:t>Bascule automatique du rôle système vers « employé »</w:t>
            </w:r>
          </w:p>
        </w:tc>
        <w:tc>
          <w:tcPr>
            <w:tcW w:type="dxa" w:w="3041"/>
          </w:tcPr>
          <w:p>
            <w:r>
              <w:rPr>
                <w:rFonts w:ascii="Times New Roman" w:hAnsi="Times New Roman"/>
                <w:sz w:val="21"/>
              </w:rPr>
              <w:t>Réalisé</w:t>
            </w:r>
          </w:p>
        </w:tc>
      </w:tr>
      <w:tr>
        <w:tc>
          <w:tcPr>
            <w:tcW w:type="dxa" w:w="3041"/>
            <w:shd w:val="clear" w:color="auto" w:fill="EAF1F8"/>
          </w:tcPr>
          <w:p>
            <w:r>
              <w:rPr>
                <w:rFonts w:ascii="Times New Roman" w:hAnsi="Times New Roman"/>
                <w:b/>
                <w:sz w:val="21"/>
              </w:rPr>
              <w:t>BF-08</w:t>
            </w:r>
          </w:p>
        </w:tc>
        <w:tc>
          <w:tcPr>
            <w:tcW w:type="dxa" w:w="3041"/>
            <w:shd w:val="clear" w:color="auto" w:fill="EAF1F8"/>
          </w:tcPr>
          <w:p>
            <w:r>
              <w:rPr>
                <w:rFonts w:ascii="Times New Roman" w:hAnsi="Times New Roman"/>
                <w:sz w:val="21"/>
              </w:rPr>
              <w:t>Enrichissement continu du profil employé</w:t>
            </w:r>
          </w:p>
        </w:tc>
        <w:tc>
          <w:tcPr>
            <w:tcW w:type="dxa" w:w="3041"/>
            <w:shd w:val="clear" w:color="auto" w:fill="EAF1F8"/>
          </w:tcPr>
          <w:p>
            <w:r>
              <w:rPr>
                <w:rFonts w:ascii="Times New Roman" w:hAnsi="Times New Roman"/>
                <w:sz w:val="21"/>
              </w:rPr>
              <w:t>Réalisé</w:t>
            </w:r>
          </w:p>
        </w:tc>
      </w:tr>
      <w:tr>
        <w:tc>
          <w:tcPr>
            <w:tcW w:type="dxa" w:w="3041"/>
          </w:tcPr>
          <w:p>
            <w:r>
              <w:rPr>
                <w:rFonts w:ascii="Times New Roman" w:hAnsi="Times New Roman"/>
                <w:b/>
                <w:sz w:val="21"/>
              </w:rPr>
              <w:t>BF-09</w:t>
            </w:r>
          </w:p>
        </w:tc>
        <w:tc>
          <w:tcPr>
            <w:tcW w:type="dxa" w:w="3041"/>
          </w:tcPr>
          <w:p>
            <w:r>
              <w:rPr>
                <w:rFonts w:ascii="Times New Roman" w:hAnsi="Times New Roman"/>
                <w:sz w:val="21"/>
              </w:rPr>
              <w:t>Organigramme, rôles internes et permissions</w:t>
            </w:r>
          </w:p>
        </w:tc>
        <w:tc>
          <w:tcPr>
            <w:tcW w:type="dxa" w:w="3041"/>
          </w:tcPr>
          <w:p>
            <w:r>
              <w:rPr>
                <w:rFonts w:ascii="Times New Roman" w:hAnsi="Times New Roman"/>
                <w:sz w:val="21"/>
              </w:rPr>
              <w:t>Réalisé</w:t>
            </w:r>
          </w:p>
        </w:tc>
      </w:tr>
      <w:tr>
        <w:tc>
          <w:tcPr>
            <w:tcW w:type="dxa" w:w="3041"/>
            <w:shd w:val="clear" w:color="auto" w:fill="EAF1F8"/>
          </w:tcPr>
          <w:p>
            <w:r>
              <w:rPr>
                <w:rFonts w:ascii="Times New Roman" w:hAnsi="Times New Roman"/>
                <w:b/>
                <w:sz w:val="21"/>
              </w:rPr>
              <w:t>BF-10</w:t>
            </w:r>
          </w:p>
        </w:tc>
        <w:tc>
          <w:tcPr>
            <w:tcW w:type="dxa" w:w="3041"/>
            <w:shd w:val="clear" w:color="auto" w:fill="EAF1F8"/>
          </w:tcPr>
          <w:p>
            <w:r>
              <w:rPr>
                <w:rFonts w:ascii="Times New Roman" w:hAnsi="Times New Roman"/>
                <w:sz w:val="21"/>
              </w:rPr>
              <w:t>Postes de mobilité interne et pilotage des candidatures</w:t>
            </w:r>
          </w:p>
        </w:tc>
        <w:tc>
          <w:tcPr>
            <w:tcW w:type="dxa" w:w="3041"/>
            <w:shd w:val="clear" w:color="auto" w:fill="EAF1F8"/>
          </w:tcPr>
          <w:p>
            <w:r>
              <w:rPr>
                <w:rFonts w:ascii="Times New Roman" w:hAnsi="Times New Roman"/>
                <w:sz w:val="21"/>
              </w:rPr>
              <w:t>Réalisé</w:t>
            </w:r>
          </w:p>
        </w:tc>
      </w:tr>
      <w:tr>
        <w:tc>
          <w:tcPr>
            <w:tcW w:type="dxa" w:w="3041"/>
          </w:tcPr>
          <w:p>
            <w:r>
              <w:rPr>
                <w:rFonts w:ascii="Times New Roman" w:hAnsi="Times New Roman"/>
                <w:b/>
                <w:sz w:val="21"/>
              </w:rPr>
              <w:t>BF-11</w:t>
            </w:r>
          </w:p>
        </w:tc>
        <w:tc>
          <w:tcPr>
            <w:tcW w:type="dxa" w:w="3041"/>
          </w:tcPr>
          <w:p>
            <w:r>
              <w:rPr>
                <w:rFonts w:ascii="Times New Roman" w:hAnsi="Times New Roman"/>
                <w:sz w:val="21"/>
              </w:rPr>
              <w:t>Candidature de l'employé à une mobilité interne</w:t>
            </w:r>
          </w:p>
        </w:tc>
        <w:tc>
          <w:tcPr>
            <w:tcW w:type="dxa" w:w="3041"/>
          </w:tcPr>
          <w:p>
            <w:r>
              <w:rPr>
                <w:rFonts w:ascii="Times New Roman" w:hAnsi="Times New Roman"/>
                <w:sz w:val="21"/>
              </w:rPr>
              <w:t>Réalisé</w:t>
            </w:r>
          </w:p>
        </w:tc>
      </w:tr>
      <w:tr>
        <w:tc>
          <w:tcPr>
            <w:tcW w:type="dxa" w:w="3041"/>
            <w:shd w:val="clear" w:color="auto" w:fill="EAF1F8"/>
          </w:tcPr>
          <w:p>
            <w:r>
              <w:rPr>
                <w:rFonts w:ascii="Times New Roman" w:hAnsi="Times New Roman"/>
                <w:b/>
                <w:sz w:val="21"/>
              </w:rPr>
              <w:t>BF-12</w:t>
            </w:r>
          </w:p>
        </w:tc>
        <w:tc>
          <w:tcPr>
            <w:tcW w:type="dxa" w:w="3041"/>
            <w:shd w:val="clear" w:color="auto" w:fill="EAF1F8"/>
          </w:tcPr>
          <w:p>
            <w:r>
              <w:rPr>
                <w:rFonts w:ascii="Times New Roman" w:hAnsi="Times New Roman"/>
                <w:sz w:val="21"/>
              </w:rPr>
              <w:t>Création de cours liés au référentiel de compétences</w:t>
            </w:r>
          </w:p>
        </w:tc>
        <w:tc>
          <w:tcPr>
            <w:tcW w:type="dxa" w:w="3041"/>
            <w:shd w:val="clear" w:color="auto" w:fill="EAF1F8"/>
          </w:tcPr>
          <w:p>
            <w:r>
              <w:rPr>
                <w:rFonts w:ascii="Times New Roman" w:hAnsi="Times New Roman"/>
                <w:sz w:val="21"/>
              </w:rPr>
              <w:t>Réalisé</w:t>
            </w:r>
          </w:p>
        </w:tc>
      </w:tr>
      <w:tr>
        <w:tc>
          <w:tcPr>
            <w:tcW w:type="dxa" w:w="3041"/>
          </w:tcPr>
          <w:p>
            <w:r>
              <w:rPr>
                <w:rFonts w:ascii="Times New Roman" w:hAnsi="Times New Roman"/>
                <w:b/>
                <w:sz w:val="21"/>
              </w:rPr>
              <w:t>BF-13</w:t>
            </w:r>
          </w:p>
        </w:tc>
        <w:tc>
          <w:tcPr>
            <w:tcW w:type="dxa" w:w="3041"/>
          </w:tcPr>
          <w:p>
            <w:r>
              <w:rPr>
                <w:rFonts w:ascii="Times New Roman" w:hAnsi="Times New Roman"/>
                <w:sz w:val="21"/>
              </w:rPr>
              <w:t>Assignation de formations aux employés</w:t>
            </w:r>
          </w:p>
        </w:tc>
        <w:tc>
          <w:tcPr>
            <w:tcW w:type="dxa" w:w="3041"/>
          </w:tcPr>
          <w:p>
            <w:r>
              <w:rPr>
                <w:rFonts w:ascii="Times New Roman" w:hAnsi="Times New Roman"/>
                <w:sz w:val="21"/>
              </w:rPr>
              <w:t>Réalisé</w:t>
            </w:r>
          </w:p>
        </w:tc>
      </w:tr>
      <w:tr>
        <w:tc>
          <w:tcPr>
            <w:tcW w:type="dxa" w:w="3041"/>
            <w:shd w:val="clear" w:color="auto" w:fill="EAF1F8"/>
          </w:tcPr>
          <w:p>
            <w:r>
              <w:rPr>
                <w:rFonts w:ascii="Times New Roman" w:hAnsi="Times New Roman"/>
                <w:b/>
                <w:sz w:val="21"/>
              </w:rPr>
              <w:t>BF-14</w:t>
            </w:r>
          </w:p>
        </w:tc>
        <w:tc>
          <w:tcPr>
            <w:tcW w:type="dxa" w:w="3041"/>
            <w:shd w:val="clear" w:color="auto" w:fill="EAF1F8"/>
          </w:tcPr>
          <w:p>
            <w:r>
              <w:rPr>
                <w:rFonts w:ascii="Times New Roman" w:hAnsi="Times New Roman"/>
                <w:sz w:val="21"/>
              </w:rPr>
              <w:t>Suivi du contenu et examen final corrigé côté serveur</w:t>
            </w:r>
          </w:p>
        </w:tc>
        <w:tc>
          <w:tcPr>
            <w:tcW w:type="dxa" w:w="3041"/>
            <w:shd w:val="clear" w:color="auto" w:fill="EAF1F8"/>
          </w:tcPr>
          <w:p>
            <w:r>
              <w:rPr>
                <w:rFonts w:ascii="Times New Roman" w:hAnsi="Times New Roman"/>
                <w:sz w:val="21"/>
              </w:rPr>
              <w:t>Réalisé</w:t>
            </w:r>
          </w:p>
        </w:tc>
      </w:tr>
      <w:tr>
        <w:tc>
          <w:tcPr>
            <w:tcW w:type="dxa" w:w="3041"/>
          </w:tcPr>
          <w:p>
            <w:r>
              <w:rPr>
                <w:rFonts w:ascii="Times New Roman" w:hAnsi="Times New Roman"/>
                <w:b/>
                <w:sz w:val="21"/>
              </w:rPr>
              <w:t>BF-15</w:t>
            </w:r>
          </w:p>
        </w:tc>
        <w:tc>
          <w:tcPr>
            <w:tcW w:type="dxa" w:w="3041"/>
          </w:tcPr>
          <w:p>
            <w:r>
              <w:rPr>
                <w:rFonts w:ascii="Times New Roman" w:hAnsi="Times New Roman"/>
                <w:sz w:val="21"/>
              </w:rPr>
              <w:t>Authentification unique (SSO) entre les modules</w:t>
            </w:r>
          </w:p>
        </w:tc>
        <w:tc>
          <w:tcPr>
            <w:tcW w:type="dxa" w:w="3041"/>
          </w:tcPr>
          <w:p>
            <w:r>
              <w:rPr>
                <w:rFonts w:ascii="Times New Roman" w:hAnsi="Times New Roman"/>
                <w:sz w:val="21"/>
              </w:rPr>
              <w:t>Réalisé</w:t>
            </w:r>
          </w:p>
        </w:tc>
      </w:tr>
      <w:tr>
        <w:tc>
          <w:tcPr>
            <w:tcW w:type="dxa" w:w="3041"/>
            <w:shd w:val="clear" w:color="auto" w:fill="EAF1F8"/>
          </w:tcPr>
          <w:p>
            <w:r>
              <w:rPr>
                <w:rFonts w:ascii="Times New Roman" w:hAnsi="Times New Roman"/>
                <w:b/>
                <w:sz w:val="21"/>
              </w:rPr>
              <w:t>BF-16</w:t>
            </w:r>
          </w:p>
        </w:tc>
        <w:tc>
          <w:tcPr>
            <w:tcW w:type="dxa" w:w="3041"/>
            <w:shd w:val="clear" w:color="auto" w:fill="EAF1F8"/>
          </w:tcPr>
          <w:p>
            <w:r>
              <w:rPr>
                <w:rFonts w:ascii="Times New Roman" w:hAnsi="Times New Roman"/>
                <w:sz w:val="21"/>
              </w:rPr>
              <w:t>Synchronisation formation → compétence (profils candidat et employé)</w:t>
            </w:r>
          </w:p>
        </w:tc>
        <w:tc>
          <w:tcPr>
            <w:tcW w:type="dxa" w:w="3041"/>
            <w:shd w:val="clear" w:color="auto" w:fill="EAF1F8"/>
          </w:tcPr>
          <w:p>
            <w:r>
              <w:rPr>
                <w:rFonts w:ascii="Times New Roman" w:hAnsi="Times New Roman"/>
                <w:sz w:val="21"/>
              </w:rPr>
              <w:t>Réalisé</w:t>
            </w:r>
          </w:p>
        </w:tc>
      </w:tr>
      <w:tr>
        <w:tc>
          <w:tcPr>
            <w:tcW w:type="dxa" w:w="3041"/>
          </w:tcPr>
          <w:p>
            <w:r>
              <w:rPr>
                <w:rFonts w:ascii="Times New Roman" w:hAnsi="Times New Roman"/>
                <w:b/>
                <w:sz w:val="21"/>
              </w:rPr>
              <w:t>BF-17</w:t>
            </w:r>
          </w:p>
        </w:tc>
        <w:tc>
          <w:tcPr>
            <w:tcW w:type="dxa" w:w="3041"/>
          </w:tcPr>
          <w:p>
            <w:r>
              <w:rPr>
                <w:rFonts w:ascii="Times New Roman" w:hAnsi="Times New Roman"/>
                <w:sz w:val="21"/>
              </w:rPr>
              <w:t>Analyse de profil et suggestions d'évolution</w:t>
            </w:r>
          </w:p>
        </w:tc>
        <w:tc>
          <w:tcPr>
            <w:tcW w:type="dxa" w:w="3041"/>
          </w:tcPr>
          <w:p>
            <w:r>
              <w:rPr>
                <w:rFonts w:ascii="Times New Roman" w:hAnsi="Times New Roman"/>
                <w:sz w:val="21"/>
              </w:rPr>
              <w:t>Réalisé</w:t>
            </w:r>
          </w:p>
        </w:tc>
      </w:tr>
      <w:tr>
        <w:tc>
          <w:tcPr>
            <w:tcW w:type="dxa" w:w="3041"/>
            <w:shd w:val="clear" w:color="auto" w:fill="EAF1F8"/>
          </w:tcPr>
          <w:p>
            <w:r>
              <w:rPr>
                <w:rFonts w:ascii="Times New Roman" w:hAnsi="Times New Roman"/>
                <w:b/>
                <w:sz w:val="21"/>
              </w:rPr>
              <w:t>BF-18</w:t>
            </w:r>
          </w:p>
        </w:tc>
        <w:tc>
          <w:tcPr>
            <w:tcW w:type="dxa" w:w="3041"/>
            <w:shd w:val="clear" w:color="auto" w:fill="EAF1F8"/>
          </w:tcPr>
          <w:p>
            <w:r>
              <w:rPr>
                <w:rFonts w:ascii="Times New Roman" w:hAnsi="Times New Roman"/>
                <w:sz w:val="21"/>
              </w:rPr>
              <w:t>Pilotage GPEC : cartographie, écarts et plan d'action</w:t>
            </w:r>
          </w:p>
        </w:tc>
        <w:tc>
          <w:tcPr>
            <w:tcW w:type="dxa" w:w="3041"/>
            <w:shd w:val="clear" w:color="auto" w:fill="EAF1F8"/>
          </w:tcPr>
          <w:p>
            <w:r>
              <w:rPr>
                <w:rFonts w:ascii="Times New Roman" w:hAnsi="Times New Roman"/>
                <w:sz w:val="21"/>
              </w:rPr>
              <w:t>Réalisé</w:t>
            </w:r>
          </w:p>
        </w:tc>
      </w:tr>
      <w:tr>
        <w:tc>
          <w:tcPr>
            <w:tcW w:type="dxa" w:w="3041"/>
          </w:tcPr>
          <w:p>
            <w:r>
              <w:rPr>
                <w:rFonts w:ascii="Times New Roman" w:hAnsi="Times New Roman"/>
                <w:b/>
                <w:sz w:val="21"/>
              </w:rPr>
              <w:t>BF-19</w:t>
            </w:r>
          </w:p>
        </w:tc>
        <w:tc>
          <w:tcPr>
            <w:tcW w:type="dxa" w:w="3041"/>
          </w:tcPr>
          <w:p>
            <w:r>
              <w:rPr>
                <w:rFonts w:ascii="Times New Roman" w:hAnsi="Times New Roman"/>
                <w:sz w:val="21"/>
              </w:rPr>
              <w:t>Architecture multi-tenant avec isolation des données</w:t>
            </w:r>
          </w:p>
        </w:tc>
        <w:tc>
          <w:tcPr>
            <w:tcW w:type="dxa" w:w="3041"/>
          </w:tcPr>
          <w:p>
            <w:r>
              <w:rPr>
                <w:rFonts w:ascii="Times New Roman" w:hAnsi="Times New Roman"/>
                <w:sz w:val="21"/>
              </w:rPr>
              <w:t>Réalisé</w:t>
            </w:r>
          </w:p>
        </w:tc>
      </w:tr>
    </w:tbl>
    <w:p>
      <w:pPr>
        <w:pStyle w:val="Heading2"/>
      </w:pPr>
      <w:r>
        <w:rPr>
          <w:rFonts w:ascii="Times New Roman" w:hAnsi="Times New Roman"/>
          <w:color w:val="2E74B5"/>
          <w:sz w:val="28"/>
        </w:rPr>
        <w:t>5.3 Présentation des interfaces réalisées</w:t>
      </w:r>
    </w:p>
    <w:p>
      <w:pPr>
        <w:spacing w:after="120"/>
        <w:ind w:firstLine="567"/>
        <w:jc w:val="both"/>
      </w:pPr>
      <w:r>
        <w:rPr>
          <w:rFonts w:ascii="Times New Roman" w:hAnsi="Times New Roman"/>
          <w:sz w:val="24"/>
        </w:rPr>
        <w:t>Les interfaces sont organisées par espace de rôle, suivant les phases du cycle de compétences.</w:t>
      </w:r>
    </w:p>
    <w:p>
      <w:pPr>
        <w:spacing w:after="120"/>
        <w:ind w:firstLine="567"/>
        <w:jc w:val="both"/>
      </w:pPr>
      <w:r>
        <w:rPr>
          <w:rFonts w:ascii="Times New Roman" w:hAnsi="Times New Roman"/>
          <w:sz w:val="24"/>
        </w:rPr>
        <w:t>L'espace recruteur centralise l'acquisition : il présente le pipeline des candidatures sous forme de tableau Kanban et, pour chaque candidat, les deux scores d'évaluation accompagnés du détail des écarts de compétences.</w:t>
      </w:r>
    </w:p>
    <w:p>
      <w:pPr>
        <w:spacing w:before="80" w:after="160"/>
        <w:jc w:val="center"/>
      </w:pPr>
      <w:r>
        <w:rPr>
          <w:rFonts w:ascii="Times New Roman" w:hAnsi="Times New Roman"/>
          <w:i/>
          <w:color w:val="808080"/>
          <w:sz w:val="21"/>
        </w:rPr>
        <w:t>Figure 5.1 — Tableau de bord recruteur et pipeline de candidatures.</w:t>
      </w:r>
    </w:p>
    <w:p>
      <w:pPr>
        <w:spacing w:before="80" w:after="160"/>
        <w:jc w:val="center"/>
      </w:pPr>
      <w:r>
        <w:rPr>
          <w:rFonts w:ascii="Times New Roman" w:hAnsi="Times New Roman"/>
          <w:i/>
          <w:color w:val="808080"/>
          <w:sz w:val="21"/>
        </w:rPr>
        <w:t>Figure 5.2 — Évaluation d'un candidat : scores d'adéquation et de potentiel.</w:t>
      </w:r>
    </w:p>
    <w:p>
      <w:pPr>
        <w:spacing w:after="120"/>
        <w:ind w:firstLine="567"/>
        <w:jc w:val="both"/>
      </w:pPr>
      <w:r>
        <w:rPr>
          <w:rFonts w:ascii="Times New Roman" w:hAnsi="Times New Roman"/>
          <w:sz w:val="24"/>
        </w:rPr>
        <w:t>L'espace candidat permet la construction libre du profil par un parcours guidé, puis donne accès à l'analyse de profil et aux suggestions d'évolution — sans jamais exposer les codes métiers sous-jacents.</w:t>
      </w:r>
    </w:p>
    <w:p>
      <w:pPr>
        <w:spacing w:before="80" w:after="160"/>
        <w:jc w:val="center"/>
      </w:pPr>
      <w:r>
        <w:rPr>
          <w:rFonts w:ascii="Times New Roman" w:hAnsi="Times New Roman"/>
          <w:i/>
          <w:color w:val="808080"/>
          <w:sz w:val="21"/>
        </w:rPr>
        <w:t>Figure 5.3 — Analyse de profil et suggestions de compétences.</w:t>
      </w:r>
    </w:p>
    <w:p>
      <w:pPr>
        <w:spacing w:after="120"/>
        <w:ind w:firstLine="567"/>
        <w:jc w:val="both"/>
      </w:pPr>
      <w:r>
        <w:rPr>
          <w:rFonts w:ascii="Times New Roman" w:hAnsi="Times New Roman"/>
          <w:sz w:val="24"/>
        </w:rPr>
        <w:t>L'espace de formation se décline en deux vues : côté formateur, la création d'un cours lié à une compétence du référentiel et à un niveau de validation ; côté apprenant, la consultation du contenu (modules et sections) et le passage de l'examen final.</w:t>
      </w:r>
    </w:p>
    <w:p>
      <w:pPr>
        <w:spacing w:before="80" w:after="160"/>
        <w:jc w:val="center"/>
      </w:pPr>
      <w:r>
        <w:rPr>
          <w:rFonts w:ascii="Times New Roman" w:hAnsi="Times New Roman"/>
          <w:i/>
          <w:color w:val="808080"/>
          <w:sz w:val="21"/>
        </w:rPr>
        <w:t>Figure 5.4 — Espace formateur : création d'un cours.</w:t>
      </w:r>
    </w:p>
    <w:p>
      <w:pPr>
        <w:spacing w:before="80" w:after="160"/>
        <w:jc w:val="center"/>
      </w:pPr>
      <w:r>
        <w:rPr>
          <w:rFonts w:ascii="Times New Roman" w:hAnsi="Times New Roman"/>
          <w:i/>
          <w:color w:val="808080"/>
          <w:sz w:val="21"/>
        </w:rPr>
        <w:t>Figure 5.5 — Espace apprenant : contenu du cours et examen final.</w:t>
      </w:r>
    </w:p>
    <w:p>
      <w:pPr>
        <w:spacing w:after="120"/>
        <w:ind w:firstLine="567"/>
        <w:jc w:val="both"/>
      </w:pPr>
      <w:r>
        <w:rPr>
          <w:rFonts w:ascii="Times New Roman" w:hAnsi="Times New Roman"/>
          <w:sz w:val="24"/>
        </w:rPr>
        <w:t>Enfin, l'espace de pilotage GPEC présente la cartographie agrégée des compétences et l'analyse des écarts, depuis laquelle une formation peut être assignée pour combler une compétence en tension.</w:t>
      </w:r>
    </w:p>
    <w:p>
      <w:pPr>
        <w:spacing w:before="80" w:after="160"/>
        <w:jc w:val="center"/>
      </w:pPr>
      <w:r>
        <w:rPr>
          <w:rFonts w:ascii="Times New Roman" w:hAnsi="Times New Roman"/>
          <w:i/>
          <w:color w:val="808080"/>
          <w:sz w:val="21"/>
        </w:rPr>
        <w:t>Figure 5.6 — Cartographie GPEC et plan d'action.</w:t>
      </w:r>
    </w:p>
    <w:p>
      <w:pPr>
        <w:pStyle w:val="Heading2"/>
      </w:pPr>
      <w:r>
        <w:rPr>
          <w:rFonts w:ascii="Times New Roman" w:hAnsi="Times New Roman"/>
          <w:color w:val="2E74B5"/>
          <w:sz w:val="28"/>
        </w:rPr>
        <w:t>5.4 Validation fonctionnelle du référentiel vivant</w:t>
      </w:r>
    </w:p>
    <w:p>
      <w:pPr>
        <w:spacing w:after="120"/>
        <w:ind w:firstLine="567"/>
        <w:jc w:val="both"/>
      </w:pPr>
      <w:r>
        <w:rPr>
          <w:rFonts w:ascii="Times New Roman" w:hAnsi="Times New Roman"/>
          <w:sz w:val="24"/>
        </w:rPr>
        <w:t>La contribution centrale — un référentiel qui se réalimente par la formation — a fait l'objet d'une validation par scénarios, dont les résultats sont rapportés ci-dessous.</w:t>
      </w:r>
    </w:p>
    <w:p>
      <w:pPr>
        <w:spacing w:after="120"/>
        <w:ind w:firstLine="567"/>
        <w:jc w:val="both"/>
      </w:pPr>
      <w:r>
        <w:rPr>
          <w:rFonts w:ascii="Times New Roman" w:hAnsi="Times New Roman"/>
          <w:sz w:val="24"/>
        </w:rPr>
        <w:t>Le premier scénario vérifie le caractère conditionnel de la validation d'une compétence. Un apprenant complète un cours validant la compétence « Python » et passe l'examen final. Lorsque le score est inférieur au seuil de réussite, le niveau reste inchangé ; lorsqu'il l'atteint, le niveau est relevé. La compétence n'est donc validée que sur preuve d'acquisition.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Pr>
                <w:rFonts w:ascii="Times New Roman" w:hAnsi="Times New Roman"/>
                <w:b/>
                <w:color w:val="FFFFFF"/>
                <w:sz w:val="21"/>
              </w:rPr>
              <w:t>Scénario</w:t>
            </w:r>
          </w:p>
        </w:tc>
        <w:tc>
          <w:tcPr>
            <w:tcW w:type="dxa" w:w="2280"/>
            <w:shd w:val="clear" w:color="auto" w:fill="1F497D"/>
          </w:tcPr>
          <w:p>
            <w:pPr>
              <w:jc w:val="center"/>
            </w:pPr>
            <w:r>
              <w:rPr>
                <w:rFonts w:ascii="Times New Roman" w:hAnsi="Times New Roman"/>
                <w:b/>
                <w:color w:val="FFFFFF"/>
                <w:sz w:val="21"/>
              </w:rPr>
              <w:t>Score</w:t>
            </w:r>
          </w:p>
        </w:tc>
        <w:tc>
          <w:tcPr>
            <w:tcW w:type="dxa" w:w="2280"/>
            <w:shd w:val="clear" w:color="auto" w:fill="1F497D"/>
          </w:tcPr>
          <w:p>
            <w:pPr>
              <w:jc w:val="center"/>
            </w:pPr>
            <w:r>
              <w:rPr>
                <w:rFonts w:ascii="Times New Roman" w:hAnsi="Times New Roman"/>
                <w:b/>
                <w:color w:val="FFFFFF"/>
                <w:sz w:val="21"/>
              </w:rPr>
              <w:t>Résultat attendu</w:t>
            </w:r>
          </w:p>
        </w:tc>
        <w:tc>
          <w:tcPr>
            <w:tcW w:type="dxa" w:w="2280"/>
            <w:shd w:val="clear" w:color="auto" w:fill="1F497D"/>
          </w:tcPr>
          <w:p>
            <w:pPr>
              <w:jc w:val="center"/>
            </w:pPr>
            <w:r>
              <w:rPr>
                <w:rFonts w:ascii="Times New Roman" w:hAnsi="Times New Roman"/>
                <w:b/>
                <w:color w:val="FFFFFF"/>
                <w:sz w:val="21"/>
              </w:rPr>
              <w:t>Résultat observé</w:t>
            </w:r>
          </w:p>
        </w:tc>
      </w:tr>
      <w:tr>
        <w:tc>
          <w:tcPr>
            <w:tcW w:type="dxa" w:w="2280"/>
          </w:tcPr>
          <w:p>
            <w:r>
              <w:rPr>
                <w:rFonts w:ascii="Times New Roman" w:hAnsi="Times New Roman"/>
                <w:b/>
                <w:sz w:val="21"/>
              </w:rPr>
              <w:t>Échec</w:t>
            </w:r>
          </w:p>
        </w:tc>
        <w:tc>
          <w:tcPr>
            <w:tcW w:type="dxa" w:w="2280"/>
          </w:tcPr>
          <w:p>
            <w:r>
              <w:rPr>
                <w:rFonts w:ascii="Times New Roman" w:hAnsi="Times New Roman"/>
                <w:sz w:val="21"/>
              </w:rPr>
              <w:t>40 % (&lt; 60 %)</w:t>
            </w:r>
          </w:p>
        </w:tc>
        <w:tc>
          <w:tcPr>
            <w:tcW w:type="dxa" w:w="2280"/>
          </w:tcPr>
          <w:p>
            <w:r>
              <w:rPr>
                <w:rFonts w:ascii="Times New Roman" w:hAnsi="Times New Roman"/>
                <w:sz w:val="21"/>
              </w:rPr>
              <w:t>Compétence inchangée (niveau 2)</w:t>
            </w:r>
          </w:p>
        </w:tc>
        <w:tc>
          <w:tcPr>
            <w:tcW w:type="dxa" w:w="2280"/>
          </w:tcPr>
          <w:p>
            <w:r>
              <w:rPr>
                <w:rFonts w:ascii="Times New Roman" w:hAnsi="Times New Roman"/>
                <w:sz w:val="21"/>
              </w:rPr>
              <w:t>Niveau 2 — conforme</w:t>
            </w:r>
          </w:p>
        </w:tc>
      </w:tr>
      <w:tr>
        <w:tc>
          <w:tcPr>
            <w:tcW w:type="dxa" w:w="2280"/>
            <w:shd w:val="clear" w:color="auto" w:fill="EAF1F8"/>
          </w:tcPr>
          <w:p>
            <w:r>
              <w:rPr>
                <w:rFonts w:ascii="Times New Roman" w:hAnsi="Times New Roman"/>
                <w:b/>
                <w:sz w:val="21"/>
              </w:rPr>
              <w:t>Réussite</w:t>
            </w:r>
          </w:p>
        </w:tc>
        <w:tc>
          <w:tcPr>
            <w:tcW w:type="dxa" w:w="2280"/>
            <w:shd w:val="clear" w:color="auto" w:fill="EAF1F8"/>
          </w:tcPr>
          <w:p>
            <w:r>
              <w:rPr>
                <w:rFonts w:ascii="Times New Roman" w:hAnsi="Times New Roman"/>
                <w:sz w:val="21"/>
              </w:rPr>
              <w:t>100 % (≥ 60 %)</w:t>
            </w:r>
          </w:p>
        </w:tc>
        <w:tc>
          <w:tcPr>
            <w:tcW w:type="dxa" w:w="2280"/>
            <w:shd w:val="clear" w:color="auto" w:fill="EAF1F8"/>
          </w:tcPr>
          <w:p>
            <w:r>
              <w:rPr>
                <w:rFonts w:ascii="Times New Roman" w:hAnsi="Times New Roman"/>
                <w:sz w:val="21"/>
              </w:rPr>
              <w:t>Compétence relevée</w:t>
            </w:r>
          </w:p>
        </w:tc>
        <w:tc>
          <w:tcPr>
            <w:tcW w:type="dxa" w:w="2280"/>
            <w:shd w:val="clear" w:color="auto" w:fill="EAF1F8"/>
          </w:tcPr>
          <w:p>
            <w:r>
              <w:rPr>
                <w:rFonts w:ascii="Times New Roman" w:hAnsi="Times New Roman"/>
                <w:sz w:val="21"/>
              </w:rPr>
              <w:t>Niveau relevé — conforme</w:t>
            </w:r>
          </w:p>
        </w:tc>
      </w:tr>
    </w:tbl>
    <w:p>
      <w:pPr>
        <w:spacing w:after="120"/>
        <w:ind w:firstLine="567"/>
        <w:jc w:val="both"/>
      </w:pPr>
      <w:r>
        <w:rPr>
          <w:rFonts w:ascii="Times New Roman" w:hAnsi="Times New Roman"/>
          <w:sz w:val="24"/>
        </w:rPr>
        <w:t>Le second scénario vérifie la propagation de cette montée jusqu'à la cartographie organisationnelle. Avant la formation, la compétence « Python » est en tension (partielle) au regard d'un poste l'exigeant au niveau requis ; après réussite d'un cours la validant à ce niveau, l'écart est résorbé et la compétence passe au statut « couverte ». La boucle conçue — de la tension détectée à sa résorption par la formation — est ainsi vérifiée de bout en bout.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Times New Roman" w:hAnsi="Times New Roman"/>
                <w:b/>
                <w:color w:val="FFFFFF"/>
                <w:sz w:val="21"/>
              </w:rPr>
              <w:t>Indicateur</w:t>
            </w:r>
          </w:p>
        </w:tc>
        <w:tc>
          <w:tcPr>
            <w:tcW w:type="dxa" w:w="3041"/>
            <w:shd w:val="clear" w:color="auto" w:fill="1F497D"/>
          </w:tcPr>
          <w:p>
            <w:pPr>
              <w:jc w:val="center"/>
            </w:pPr>
            <w:r>
              <w:rPr>
                <w:rFonts w:ascii="Times New Roman" w:hAnsi="Times New Roman"/>
                <w:b/>
                <w:color w:val="FFFFFF"/>
                <w:sz w:val="21"/>
              </w:rPr>
              <w:t>Avant la formation</w:t>
            </w:r>
          </w:p>
        </w:tc>
        <w:tc>
          <w:tcPr>
            <w:tcW w:type="dxa" w:w="3041"/>
            <w:shd w:val="clear" w:color="auto" w:fill="1F497D"/>
          </w:tcPr>
          <w:p>
            <w:pPr>
              <w:jc w:val="center"/>
            </w:pPr>
            <w:r>
              <w:rPr>
                <w:rFonts w:ascii="Times New Roman" w:hAnsi="Times New Roman"/>
                <w:b/>
                <w:color w:val="FFFFFF"/>
                <w:sz w:val="21"/>
              </w:rPr>
              <w:t>Après la formation</w:t>
            </w:r>
          </w:p>
        </w:tc>
      </w:tr>
      <w:tr>
        <w:tc>
          <w:tcPr>
            <w:tcW w:type="dxa" w:w="3041"/>
          </w:tcPr>
          <w:p>
            <w:r>
              <w:rPr>
                <w:rFonts w:ascii="Times New Roman" w:hAnsi="Times New Roman"/>
                <w:b/>
                <w:sz w:val="21"/>
              </w:rPr>
              <w:t>Statut de la compétence</w:t>
            </w:r>
          </w:p>
        </w:tc>
        <w:tc>
          <w:tcPr>
            <w:tcW w:type="dxa" w:w="3041"/>
          </w:tcPr>
          <w:p>
            <w:r>
              <w:rPr>
                <w:rFonts w:ascii="Times New Roman" w:hAnsi="Times New Roman"/>
                <w:sz w:val="21"/>
              </w:rPr>
              <w:t>Partielle (en tension)</w:t>
            </w:r>
          </w:p>
        </w:tc>
        <w:tc>
          <w:tcPr>
            <w:tcW w:type="dxa" w:w="3041"/>
          </w:tcPr>
          <w:p>
            <w:r>
              <w:rPr>
                <w:rFonts w:ascii="Times New Roman" w:hAnsi="Times New Roman"/>
                <w:sz w:val="21"/>
              </w:rPr>
              <w:t>Couverte</w:t>
            </w:r>
          </w:p>
        </w:tc>
      </w:tr>
      <w:tr>
        <w:tc>
          <w:tcPr>
            <w:tcW w:type="dxa" w:w="3041"/>
            <w:shd w:val="clear" w:color="auto" w:fill="EAF1F8"/>
          </w:tcPr>
          <w:p>
            <w:r>
              <w:rPr>
                <w:rFonts w:ascii="Times New Roman" w:hAnsi="Times New Roman"/>
                <w:b/>
                <w:sz w:val="21"/>
              </w:rPr>
              <w:t>Employés au niveau requis</w:t>
            </w:r>
          </w:p>
        </w:tc>
        <w:tc>
          <w:tcPr>
            <w:tcW w:type="dxa" w:w="3041"/>
            <w:shd w:val="clear" w:color="auto" w:fill="EAF1F8"/>
          </w:tcPr>
          <w:p>
            <w:r>
              <w:rPr>
                <w:rFonts w:ascii="Times New Roman" w:hAnsi="Times New Roman"/>
                <w:sz w:val="21"/>
              </w:rPr>
              <w:t>1</w:t>
            </w:r>
          </w:p>
        </w:tc>
        <w:tc>
          <w:tcPr>
            <w:tcW w:type="dxa" w:w="3041"/>
            <w:shd w:val="clear" w:color="auto" w:fill="EAF1F8"/>
          </w:tcPr>
          <w:p>
            <w:r>
              <w:rPr>
                <w:rFonts w:ascii="Times New Roman" w:hAnsi="Times New Roman"/>
                <w:sz w:val="21"/>
              </w:rPr>
              <w:t>2</w:t>
            </w:r>
          </w:p>
        </w:tc>
      </w:tr>
    </w:tbl>
    <w:p>
      <w:pPr>
        <w:spacing w:after="120"/>
        <w:ind w:firstLine="567"/>
        <w:jc w:val="both"/>
      </w:pPr>
      <w:r>
        <w:rPr>
          <w:rFonts w:ascii="Times New Roman" w:hAnsi="Times New Roman"/>
          <w:sz w:val="24"/>
        </w:rPr>
        <w:t>Ces résultats établissent que les trois mécanismes — portabilité du profil, synchronisation formation-compétence et analyse — fonctionnent de concert : une action de formation se traduit effectivement par une mise à jour du référentiel à l'échelle de l'individu comme de l'organisation. Le référentiel vivant, posé comme hypothèse directrice, est ainsi démontré dans son fonctionnement réel.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