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E79"/>
          <w:sz w:val="36"/>
        </w:rPr>
        <w:t>Chapitre 5 : Réalisation</w:t>
      </w:r>
    </w:p>
    <w:p>
      <w:pPr>
        <w:spacing w:after="120" w:line="276" w:lineRule="auto"/>
        <w:jc w:val="both"/>
      </w:pPr>
      <w:r>
        <w:rPr>
          <w:rFonts w:ascii="Times New Roman" w:hAnsi="Times New Roman"/>
          <w:i w:val="0"/>
          <w:sz w:val="24"/>
        </w:rPr>
        <w:t>Ce chapitre rend compte de la mise en œuvre du système conçu au chapitre précédent. Il décrit l'environnement de réalisation (5.1), dresse la traçabilité des besoins fonctionnels réalisés (5.2), présente les interfaces produites (5.3) et rapporte la validation fonctionnelle du référentiel vivant (5.4), avant de préciser la portée et les limites de cette validation (5.5).</w:t>
      </w:r>
    </w:p>
    <w:p>
      <w:pPr>
        <w:pStyle w:val="Heading2"/>
      </w:pPr>
      <w:r>
        <w:rPr>
          <w:rFonts w:ascii="Times New Roman" w:hAnsi="Times New Roman"/>
          <w:color w:val="1F4E79"/>
          <w:sz w:val="28"/>
        </w:rPr>
        <w:t>5.1 Environnement de réalisation</w:t>
      </w:r>
    </w:p>
    <w:p>
      <w:pPr>
        <w:spacing w:after="120" w:line="276" w:lineRule="auto"/>
        <w:jc w:val="both"/>
      </w:pPr>
      <w:r>
        <w:rPr>
          <w:rFonts w:ascii="Times New Roman" w:hAnsi="Times New Roman"/>
          <w:i w:val="0"/>
          <w:sz w:val="24"/>
        </w:rPr>
        <w:t>Le système est constitué de trois applications exécutées indépendamment : l'API centrale, servie par un serveur ASGI sur le port 8000 ; l'interface RH sur le port 3000 ; et le LMS sur le port 3001. La persistance s'appuie sur deux moteurs — PostgreSQL pour le cœur RH, MongoDB pour le contenu pédagogique. Les évolutions du schéma relationnel sont gérées par migrations versionnées, garantissant la reproductibilité de la base. L'ensemble est développé en Python (FastAPI, SQLAlchemy) côté API et en TypeScript (Next.js) côté interfaces, sous contrôle de version Git.</w:t>
      </w:r>
    </w:p>
    <w:p>
      <w:pPr>
        <w:pStyle w:val="Heading2"/>
      </w:pPr>
      <w:r>
        <w:rPr>
          <w:rFonts w:ascii="Times New Roman" w:hAnsi="Times New Roman"/>
          <w:color w:val="1F4E79"/>
          <w:sz w:val="28"/>
        </w:rPr>
        <w:t>5.2 Traçabilité des besoins réalisés</w:t>
      </w:r>
    </w:p>
    <w:p>
      <w:pPr>
        <w:spacing w:after="120" w:line="276" w:lineRule="auto"/>
        <w:jc w:val="both"/>
      </w:pPr>
      <w:r>
        <w:rPr>
          <w:rFonts w:ascii="Times New Roman" w:hAnsi="Times New Roman"/>
          <w:i w:val="0"/>
          <w:sz w:val="24"/>
        </w:rPr>
        <w:t>L'ensemble des besoins fonctionnels spécifiés au chapitre 3 a été réalisé. Le tableau de traçabilité ci-dessous établit la correspondance entre chaque besoin, le composant qui le porte et son état d'avancement.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1"/>
              </w:rPr>
              <w:t>Réf.</w:t>
            </w:r>
          </w:p>
        </w:tc>
        <w:tc>
          <w:tcPr>
            <w:tcW w:type="dxa" w:w="2351"/>
          </w:tcPr>
          <w:p>
            <w:r>
              <w:rPr>
                <w:rFonts w:ascii="Times New Roman" w:hAnsi="Times New Roman"/>
                <w:b/>
                <w:sz w:val="21"/>
              </w:rPr>
              <w:t>Besoin fonctionnel</w:t>
            </w:r>
          </w:p>
        </w:tc>
        <w:tc>
          <w:tcPr>
            <w:tcW w:type="dxa" w:w="2351"/>
          </w:tcPr>
          <w:p>
            <w:r>
              <w:rPr>
                <w:rFonts w:ascii="Times New Roman" w:hAnsi="Times New Roman"/>
                <w:b/>
                <w:sz w:val="21"/>
              </w:rPr>
              <w:t>Composant / réalisation</w:t>
            </w:r>
          </w:p>
        </w:tc>
        <w:tc>
          <w:tcPr>
            <w:tcW w:type="dxa" w:w="2351"/>
          </w:tcPr>
          <w:p>
            <w:r>
              <w:rPr>
                <w:rFonts w:ascii="Times New Roman" w:hAnsi="Times New Roman"/>
                <w:b/>
                <w:sz w:val="21"/>
              </w:rPr>
              <w:t>État</w:t>
            </w:r>
          </w:p>
        </w:tc>
      </w:tr>
      <w:tr>
        <w:tc>
          <w:tcPr>
            <w:tcW w:type="dxa" w:w="2351"/>
          </w:tcPr>
          <w:p>
            <w:r>
              <w:rPr>
                <w:rFonts w:ascii="Times New Roman" w:hAnsi="Times New Roman"/>
                <w:sz w:val="19"/>
              </w:rPr>
              <w:t>BF-01</w:t>
            </w:r>
          </w:p>
        </w:tc>
        <w:tc>
          <w:tcPr>
            <w:tcW w:type="dxa" w:w="2351"/>
          </w:tcPr>
          <w:p>
            <w:r>
              <w:rPr>
                <w:rFonts w:ascii="Times New Roman" w:hAnsi="Times New Roman"/>
                <w:sz w:val="19"/>
              </w:rPr>
              <w:t>Création et publication d'offres avec compétences requises et niveaux</w:t>
            </w:r>
          </w:p>
        </w:tc>
        <w:tc>
          <w:tcPr>
            <w:tcW w:type="dxa" w:w="2351"/>
          </w:tcPr>
          <w:p>
            <w:r>
              <w:rPr>
                <w:rFonts w:ascii="Times New Roman" w:hAnsi="Times New Roman"/>
                <w:sz w:val="19"/>
              </w:rPr>
              <w:t>API offres / espace recruteur</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BF-02</w:t>
            </w:r>
          </w:p>
        </w:tc>
        <w:tc>
          <w:tcPr>
            <w:tcW w:type="dxa" w:w="2351"/>
          </w:tcPr>
          <w:p>
            <w:r>
              <w:rPr>
                <w:rFonts w:ascii="Times New Roman" w:hAnsi="Times New Roman"/>
                <w:sz w:val="19"/>
              </w:rPr>
              <w:t>Parcours guidé de construction libre du profil candidat</w:t>
            </w:r>
          </w:p>
        </w:tc>
        <w:tc>
          <w:tcPr>
            <w:tcW w:type="dxa" w:w="2351"/>
          </w:tcPr>
          <w:p>
            <w:r>
              <w:rPr>
                <w:rFonts w:ascii="Times New Roman" w:hAnsi="Times New Roman"/>
                <w:sz w:val="19"/>
              </w:rPr>
              <w:t>Onboarding candidat</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BF-03</w:t>
            </w:r>
          </w:p>
        </w:tc>
        <w:tc>
          <w:tcPr>
            <w:tcW w:type="dxa" w:w="2351"/>
          </w:tcPr>
          <w:p>
            <w:r>
              <w:rPr>
                <w:rFonts w:ascii="Times New Roman" w:hAnsi="Times New Roman"/>
                <w:sz w:val="19"/>
              </w:rPr>
              <w:t>Invitation proactive d'un candidat à postuler</w:t>
            </w:r>
          </w:p>
        </w:tc>
        <w:tc>
          <w:tcPr>
            <w:tcW w:type="dxa" w:w="2351"/>
          </w:tcPr>
          <w:p>
            <w:r>
              <w:rPr>
                <w:rFonts w:ascii="Times New Roman" w:hAnsi="Times New Roman"/>
                <w:sz w:val="19"/>
              </w:rPr>
              <w:t>Espace recruteur</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BF-04</w:t>
            </w:r>
          </w:p>
        </w:tc>
        <w:tc>
          <w:tcPr>
            <w:tcW w:type="dxa" w:w="2351"/>
          </w:tcPr>
          <w:p>
            <w:r>
              <w:rPr>
                <w:rFonts w:ascii="Times New Roman" w:hAnsi="Times New Roman"/>
                <w:sz w:val="19"/>
              </w:rPr>
              <w:t>Calcul automatique des scores de fit et de potentiel, écarts exposés</w:t>
            </w:r>
          </w:p>
        </w:tc>
        <w:tc>
          <w:tcPr>
            <w:tcW w:type="dxa" w:w="2351"/>
          </w:tcPr>
          <w:p>
            <w:r>
              <w:rPr>
                <w:rFonts w:ascii="Times New Roman" w:hAnsi="Times New Roman"/>
                <w:sz w:val="19"/>
              </w:rPr>
              <w:t>Service matching</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BF-05</w:t>
            </w:r>
          </w:p>
        </w:tc>
        <w:tc>
          <w:tcPr>
            <w:tcW w:type="dxa" w:w="2351"/>
          </w:tcPr>
          <w:p>
            <w:r>
              <w:rPr>
                <w:rFonts w:ascii="Times New Roman" w:hAnsi="Times New Roman"/>
                <w:sz w:val="19"/>
              </w:rPr>
              <w:t>Tableau Kanban de pilotage du pipeline de candidatures</w:t>
            </w:r>
          </w:p>
        </w:tc>
        <w:tc>
          <w:tcPr>
            <w:tcW w:type="dxa" w:w="2351"/>
          </w:tcPr>
          <w:p>
            <w:r>
              <w:rPr>
                <w:rFonts w:ascii="Times New Roman" w:hAnsi="Times New Roman"/>
                <w:sz w:val="19"/>
              </w:rPr>
              <w:t>Espace recruteur</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BF-06</w:t>
            </w:r>
          </w:p>
        </w:tc>
        <w:tc>
          <w:tcPr>
            <w:tcW w:type="dxa" w:w="2351"/>
          </w:tcPr>
          <w:p>
            <w:r>
              <w:rPr>
                <w:rFonts w:ascii="Times New Roman" w:hAnsi="Times New Roman"/>
                <w:sz w:val="19"/>
              </w:rPr>
              <w:t>Portabilité : création du profil employé par transfert des données</w:t>
            </w:r>
          </w:p>
        </w:tc>
        <w:tc>
          <w:tcPr>
            <w:tcW w:type="dxa" w:w="2351"/>
          </w:tcPr>
          <w:p>
            <w:r>
              <w:rPr>
                <w:rFonts w:ascii="Times New Roman" w:hAnsi="Times New Roman"/>
                <w:sz w:val="19"/>
              </w:rPr>
              <w:t>Acceptation candidature</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BF-07</w:t>
            </w:r>
          </w:p>
        </w:tc>
        <w:tc>
          <w:tcPr>
            <w:tcW w:type="dxa" w:w="2351"/>
          </w:tcPr>
          <w:p>
            <w:r>
              <w:rPr>
                <w:rFonts w:ascii="Times New Roman" w:hAnsi="Times New Roman"/>
                <w:sz w:val="19"/>
              </w:rPr>
              <w:t>Bascule automatique du rôle candidat → employé</w:t>
            </w:r>
          </w:p>
        </w:tc>
        <w:tc>
          <w:tcPr>
            <w:tcW w:type="dxa" w:w="2351"/>
          </w:tcPr>
          <w:p>
            <w:r>
              <w:rPr>
                <w:rFonts w:ascii="Times New Roman" w:hAnsi="Times New Roman"/>
                <w:sz w:val="19"/>
              </w:rPr>
              <w:t>Cœur RH</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BF-08</w:t>
            </w:r>
          </w:p>
        </w:tc>
        <w:tc>
          <w:tcPr>
            <w:tcW w:type="dxa" w:w="2351"/>
          </w:tcPr>
          <w:p>
            <w:r>
              <w:rPr>
                <w:rFonts w:ascii="Times New Roman" w:hAnsi="Times New Roman"/>
                <w:sz w:val="19"/>
              </w:rPr>
              <w:t>Enrichissement continu du profil professionnel</w:t>
            </w:r>
          </w:p>
        </w:tc>
        <w:tc>
          <w:tcPr>
            <w:tcW w:type="dxa" w:w="2351"/>
          </w:tcPr>
          <w:p>
            <w:r>
              <w:rPr>
                <w:rFonts w:ascii="Times New Roman" w:hAnsi="Times New Roman"/>
                <w:sz w:val="19"/>
              </w:rPr>
              <w:t>Espace employé</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BF-09</w:t>
            </w:r>
          </w:p>
        </w:tc>
        <w:tc>
          <w:tcPr>
            <w:tcW w:type="dxa" w:w="2351"/>
          </w:tcPr>
          <w:p>
            <w:r>
              <w:rPr>
                <w:rFonts w:ascii="Times New Roman" w:hAnsi="Times New Roman"/>
                <w:sz w:val="19"/>
              </w:rPr>
              <w:t>Gestion de l'organigramme et des rôles internes/permissions</w:t>
            </w:r>
          </w:p>
        </w:tc>
        <w:tc>
          <w:tcPr>
            <w:tcW w:type="dxa" w:w="2351"/>
          </w:tcPr>
          <w:p>
            <w:r>
              <w:rPr>
                <w:rFonts w:ascii="Times New Roman" w:hAnsi="Times New Roman"/>
                <w:sz w:val="19"/>
              </w:rPr>
              <w:t>Module organisation</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BF-10</w:t>
            </w:r>
          </w:p>
        </w:tc>
        <w:tc>
          <w:tcPr>
            <w:tcW w:type="dxa" w:w="2351"/>
          </w:tcPr>
          <w:p>
            <w:r>
              <w:rPr>
                <w:rFonts w:ascii="Times New Roman" w:hAnsi="Times New Roman"/>
                <w:sz w:val="19"/>
              </w:rPr>
              <w:t>Création de postes de mobilité interne et pilotage des candidatures</w:t>
            </w:r>
          </w:p>
        </w:tc>
        <w:tc>
          <w:tcPr>
            <w:tcW w:type="dxa" w:w="2351"/>
          </w:tcPr>
          <w:p>
            <w:r>
              <w:rPr>
                <w:rFonts w:ascii="Times New Roman" w:hAnsi="Times New Roman"/>
                <w:sz w:val="19"/>
              </w:rPr>
              <w:t>Module mobilité</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BF-11</w:t>
            </w:r>
          </w:p>
        </w:tc>
        <w:tc>
          <w:tcPr>
            <w:tcW w:type="dxa" w:w="2351"/>
          </w:tcPr>
          <w:p>
            <w:r>
              <w:rPr>
                <w:rFonts w:ascii="Times New Roman" w:hAnsi="Times New Roman"/>
                <w:sz w:val="19"/>
              </w:rPr>
              <w:t>Consultation et candidature aux postes de mobilité</w:t>
            </w:r>
          </w:p>
        </w:tc>
        <w:tc>
          <w:tcPr>
            <w:tcW w:type="dxa" w:w="2351"/>
          </w:tcPr>
          <w:p>
            <w:r>
              <w:rPr>
                <w:rFonts w:ascii="Times New Roman" w:hAnsi="Times New Roman"/>
                <w:sz w:val="19"/>
              </w:rPr>
              <w:t>Espace employé</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BF-12</w:t>
            </w:r>
          </w:p>
        </w:tc>
        <w:tc>
          <w:tcPr>
            <w:tcW w:type="dxa" w:w="2351"/>
          </w:tcPr>
          <w:p>
            <w:r>
              <w:rPr>
                <w:rFonts w:ascii="Times New Roman" w:hAnsi="Times New Roman"/>
                <w:sz w:val="19"/>
              </w:rPr>
              <w:t>Création de parcours de formation structurés (cours/modules/quiz)</w:t>
            </w:r>
          </w:p>
        </w:tc>
        <w:tc>
          <w:tcPr>
            <w:tcW w:type="dxa" w:w="2351"/>
          </w:tcPr>
          <w:p>
            <w:r>
              <w:rPr>
                <w:rFonts w:ascii="Times New Roman" w:hAnsi="Times New Roman"/>
                <w:sz w:val="19"/>
              </w:rPr>
              <w:t>LMS — espace formateur</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BF-13</w:t>
            </w:r>
          </w:p>
        </w:tc>
        <w:tc>
          <w:tcPr>
            <w:tcW w:type="dxa" w:w="2351"/>
          </w:tcPr>
          <w:p>
            <w:r>
              <w:rPr>
                <w:rFonts w:ascii="Times New Roman" w:hAnsi="Times New Roman"/>
                <w:sz w:val="19"/>
              </w:rPr>
              <w:t>Assignation de formations aux employés en lien avec les écarts</w:t>
            </w:r>
          </w:p>
        </w:tc>
        <w:tc>
          <w:tcPr>
            <w:tcW w:type="dxa" w:w="2351"/>
          </w:tcPr>
          <w:p>
            <w:r>
              <w:rPr>
                <w:rFonts w:ascii="Times New Roman" w:hAnsi="Times New Roman"/>
                <w:sz w:val="19"/>
              </w:rPr>
              <w:t>Espace RH / GPEC</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BF-14</w:t>
            </w:r>
          </w:p>
        </w:tc>
        <w:tc>
          <w:tcPr>
            <w:tcW w:type="dxa" w:w="2351"/>
          </w:tcPr>
          <w:p>
            <w:r>
              <w:rPr>
                <w:rFonts w:ascii="Times New Roman" w:hAnsi="Times New Roman"/>
                <w:sz w:val="19"/>
              </w:rPr>
              <w:t>Accès au catalogue, inscription et suivi de progression</w:t>
            </w:r>
          </w:p>
        </w:tc>
        <w:tc>
          <w:tcPr>
            <w:tcW w:type="dxa" w:w="2351"/>
          </w:tcPr>
          <w:p>
            <w:r>
              <w:rPr>
                <w:rFonts w:ascii="Times New Roman" w:hAnsi="Times New Roman"/>
                <w:sz w:val="19"/>
              </w:rPr>
              <w:t>LMS — espace apprenant</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BF-15</w:t>
            </w:r>
          </w:p>
        </w:tc>
        <w:tc>
          <w:tcPr>
            <w:tcW w:type="dxa" w:w="2351"/>
          </w:tcPr>
          <w:p>
            <w:r>
              <w:rPr>
                <w:rFonts w:ascii="Times New Roman" w:hAnsi="Times New Roman"/>
                <w:sz w:val="19"/>
              </w:rPr>
              <w:t>Accès SSO au LMS depuis l'espace RH</w:t>
            </w:r>
          </w:p>
        </w:tc>
        <w:tc>
          <w:tcPr>
            <w:tcW w:type="dxa" w:w="2351"/>
          </w:tcPr>
          <w:p>
            <w:r>
              <w:rPr>
                <w:rFonts w:ascii="Times New Roman" w:hAnsi="Times New Roman"/>
                <w:sz w:val="19"/>
              </w:rPr>
              <w:t>Authentification inter-services</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BF-16</w:t>
            </w:r>
          </w:p>
        </w:tc>
        <w:tc>
          <w:tcPr>
            <w:tcW w:type="dxa" w:w="2351"/>
          </w:tcPr>
          <w:p>
            <w:r>
              <w:rPr>
                <w:rFonts w:ascii="Times New Roman" w:hAnsi="Times New Roman"/>
                <w:sz w:val="19"/>
              </w:rPr>
              <w:t>Synchronisation formation → compétence (relevé de niveau)</w:t>
            </w:r>
          </w:p>
        </w:tc>
        <w:tc>
          <w:tcPr>
            <w:tcW w:type="dxa" w:w="2351"/>
          </w:tcPr>
          <w:p>
            <w:r>
              <w:rPr>
                <w:rFonts w:ascii="Times New Roman" w:hAnsi="Times New Roman"/>
                <w:sz w:val="19"/>
              </w:rPr>
              <w:t>Pont LMS → API</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BF-17</w:t>
            </w:r>
          </w:p>
        </w:tc>
        <w:tc>
          <w:tcPr>
            <w:tcW w:type="dxa" w:w="2351"/>
          </w:tcPr>
          <w:p>
            <w:r>
              <w:rPr>
                <w:rFonts w:ascii="Times New Roman" w:hAnsi="Times New Roman"/>
                <w:sz w:val="19"/>
              </w:rPr>
              <w:t>Analyse de profil et suggestions d'évolution</w:t>
            </w:r>
          </w:p>
        </w:tc>
        <w:tc>
          <w:tcPr>
            <w:tcW w:type="dxa" w:w="2351"/>
          </w:tcPr>
          <w:p>
            <w:r>
              <w:rPr>
                <w:rFonts w:ascii="Times New Roman" w:hAnsi="Times New Roman"/>
                <w:sz w:val="19"/>
              </w:rPr>
              <w:t>Service profile_analysis</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BF-18</w:t>
            </w:r>
          </w:p>
        </w:tc>
        <w:tc>
          <w:tcPr>
            <w:tcW w:type="dxa" w:w="2351"/>
          </w:tcPr>
          <w:p>
            <w:r>
              <w:rPr>
                <w:rFonts w:ascii="Times New Roman" w:hAnsi="Times New Roman"/>
                <w:sz w:val="19"/>
              </w:rPr>
              <w:t>Vue agrégée GPEC : cartographie des écarts et plan d'action</w:t>
            </w:r>
          </w:p>
        </w:tc>
        <w:tc>
          <w:tcPr>
            <w:tcW w:type="dxa" w:w="2351"/>
          </w:tcPr>
          <w:p>
            <w:r>
              <w:rPr>
                <w:rFonts w:ascii="Times New Roman" w:hAnsi="Times New Roman"/>
                <w:sz w:val="19"/>
              </w:rPr>
              <w:t>Service GPEC</w:t>
            </w:r>
          </w:p>
        </w:tc>
        <w:tc>
          <w:tcPr>
            <w:tcW w:type="dxa" w:w="2351"/>
          </w:tcPr>
          <w:p>
            <w:r>
              <w:rPr>
                <w:rFonts w:ascii="Times New Roman" w:hAnsi="Times New Roman"/>
                <w:sz w:val="19"/>
              </w:rPr>
              <w:t>Réalisé</w:t>
            </w:r>
          </w:p>
        </w:tc>
      </w:tr>
      <w:tr>
        <w:tc>
          <w:tcPr>
            <w:tcW w:type="dxa" w:w="2351"/>
          </w:tcPr>
          <w:p>
            <w:r>
              <w:rPr>
                <w:rFonts w:ascii="Times New Roman" w:hAnsi="Times New Roman"/>
                <w:sz w:val="19"/>
              </w:rPr>
              <w:t>BF-19</w:t>
            </w:r>
          </w:p>
        </w:tc>
        <w:tc>
          <w:tcPr>
            <w:tcW w:type="dxa" w:w="2351"/>
          </w:tcPr>
          <w:p>
            <w:r>
              <w:rPr>
                <w:rFonts w:ascii="Times New Roman" w:hAnsi="Times New Roman"/>
                <w:sz w:val="19"/>
              </w:rPr>
              <w:t>Multi-tenant : isolation des données, référentiel et vivier mutualisés</w:t>
            </w:r>
          </w:p>
        </w:tc>
        <w:tc>
          <w:tcPr>
            <w:tcW w:type="dxa" w:w="2351"/>
          </w:tcPr>
          <w:p>
            <w:r>
              <w:rPr>
                <w:rFonts w:ascii="Times New Roman" w:hAnsi="Times New Roman"/>
                <w:sz w:val="19"/>
              </w:rPr>
              <w:t>Cœur RH</w:t>
            </w:r>
          </w:p>
        </w:tc>
        <w:tc>
          <w:tcPr>
            <w:tcW w:type="dxa" w:w="2351"/>
          </w:tcPr>
          <w:p>
            <w:r>
              <w:rPr>
                <w:rFonts w:ascii="Times New Roman" w:hAnsi="Times New Roman"/>
                <w:sz w:val="19"/>
              </w:rPr>
              <w:t>Réalisé</w:t>
            </w:r>
          </w:p>
        </w:tc>
      </w:tr>
    </w:tbl>
    <w:p/>
    <w:p>
      <w:pPr>
        <w:spacing w:before="80" w:after="200"/>
        <w:jc w:val="center"/>
      </w:pPr>
      <w:r>
        <w:rPr>
          <w:rFonts w:ascii="Times New Roman" w:hAnsi="Times New Roman"/>
          <w:i/>
          <w:color w:val="555555"/>
          <w:sz w:val="21"/>
        </w:rPr>
        <w:t>Tableau 5.1 — Traçabilité des besoins fonctionnels BF-01 à BF-19.</w:t>
      </w:r>
    </w:p>
    <w:p>
      <w:pPr>
        <w:pStyle w:val="Heading2"/>
      </w:pPr>
      <w:r>
        <w:rPr>
          <w:rFonts w:ascii="Times New Roman" w:hAnsi="Times New Roman"/>
          <w:color w:val="1F4E79"/>
          <w:sz w:val="28"/>
        </w:rPr>
        <w:t>5.3 Présentation des interfaces réalisées</w:t>
      </w:r>
    </w:p>
    <w:p>
      <w:pPr>
        <w:spacing w:after="120" w:line="276" w:lineRule="auto"/>
        <w:jc w:val="both"/>
      </w:pPr>
      <w:r>
        <w:rPr>
          <w:rFonts w:ascii="Times New Roman" w:hAnsi="Times New Roman"/>
          <w:i w:val="0"/>
          <w:sz w:val="24"/>
        </w:rPr>
        <w:t>Les interfaces sont organisées par espace de rôle, suivant les phases du cycle de compétences.</w:t>
      </w:r>
    </w:p>
    <w:p>
      <w:pPr>
        <w:spacing w:after="120" w:line="276" w:lineRule="auto"/>
        <w:jc w:val="both"/>
      </w:pPr>
      <w:r>
        <w:rPr>
          <w:rFonts w:ascii="Times New Roman" w:hAnsi="Times New Roman"/>
          <w:i w:val="0"/>
          <w:sz w:val="24"/>
        </w:rPr>
        <w:t>L'espace recruteur centralise l'acquisition : il présente le pipeline des candidatures sous forme de tableau Kanban et, pour chaque candidat, les deux scores d'adéquation et de potentiel accompagnés du détail des écarts. Le recruteur lit ainsi non seulement qui correspond au poste, mais qui pourrait y correspondre après formation.</w:t>
      </w:r>
    </w:p>
    <w:p>
      <w:pPr>
        <w:spacing w:before="80" w:after="200"/>
        <w:jc w:val="center"/>
      </w:pPr>
      <w:r>
        <w:rPr>
          <w:rFonts w:ascii="Times New Roman" w:hAnsi="Times New Roman"/>
          <w:i/>
          <w:color w:val="555555"/>
          <w:sz w:val="21"/>
        </w:rPr>
        <w:t>Figure 5.1 — Tableau de bord recruteur et pipeline de candidatures.</w:t>
      </w:r>
    </w:p>
    <w:p>
      <w:pPr>
        <w:spacing w:before="80" w:after="200"/>
        <w:jc w:val="center"/>
      </w:pPr>
      <w:r>
        <w:rPr>
          <w:rFonts w:ascii="Times New Roman" w:hAnsi="Times New Roman"/>
          <w:i/>
          <w:color w:val="555555"/>
          <w:sz w:val="21"/>
        </w:rPr>
        <w:t>Figure 5.2 — Évaluation d'un candidat : scores d'adéquation et de potentiel.</w:t>
      </w:r>
    </w:p>
    <w:p>
      <w:pPr>
        <w:spacing w:after="120" w:line="276" w:lineRule="auto"/>
        <w:jc w:val="both"/>
      </w:pPr>
      <w:r>
        <w:rPr>
          <w:rFonts w:ascii="Times New Roman" w:hAnsi="Times New Roman"/>
          <w:i w:val="0"/>
          <w:sz w:val="24"/>
        </w:rPr>
        <w:t>L'espace candidat permet la construction libre du profil par un parcours guidé, puis donne accès à l'analyse de profil et aux suggestions d'évolution — sans jamais exposer la mécanique ROME sous-jacente, qui demeure interne au système.</w:t>
      </w:r>
    </w:p>
    <w:p>
      <w:pPr>
        <w:spacing w:before="80" w:after="200"/>
        <w:jc w:val="center"/>
      </w:pPr>
      <w:r>
        <w:rPr>
          <w:rFonts w:ascii="Times New Roman" w:hAnsi="Times New Roman"/>
          <w:i/>
          <w:color w:val="555555"/>
          <w:sz w:val="21"/>
        </w:rPr>
        <w:t>Figure 5.3 — Analyse de profil et suggestions de compétences.</w:t>
      </w:r>
    </w:p>
    <w:p>
      <w:pPr>
        <w:spacing w:after="120" w:line="276" w:lineRule="auto"/>
        <w:jc w:val="both"/>
      </w:pPr>
      <w:r>
        <w:rPr>
          <w:rFonts w:ascii="Times New Roman" w:hAnsi="Times New Roman"/>
          <w:i w:val="0"/>
          <w:sz w:val="24"/>
        </w:rPr>
        <w:t>L'espace de formation se décline en deux vues : côté formateur, la création d'un cours lié à une compétence du référentiel et à un niveau de validation ; côté apprenant, le suivi du contenu et le passage de l'examen final, dont la réussite déclenche la mise à jour de la compétence.</w:t>
      </w:r>
    </w:p>
    <w:p>
      <w:pPr>
        <w:spacing w:before="80" w:after="200"/>
        <w:jc w:val="center"/>
      </w:pPr>
      <w:r>
        <w:rPr>
          <w:rFonts w:ascii="Times New Roman" w:hAnsi="Times New Roman"/>
          <w:i/>
          <w:color w:val="555555"/>
          <w:sz w:val="21"/>
        </w:rPr>
        <w:t>Figure 5.4 — Espace formateur : création d'un cours.</w:t>
      </w:r>
    </w:p>
    <w:p>
      <w:pPr>
        <w:spacing w:before="80" w:after="200"/>
        <w:jc w:val="center"/>
      </w:pPr>
      <w:r>
        <w:rPr>
          <w:rFonts w:ascii="Times New Roman" w:hAnsi="Times New Roman"/>
          <w:i/>
          <w:color w:val="555555"/>
          <w:sz w:val="21"/>
        </w:rPr>
        <w:t>Figure 5.5 — Espace apprenant : contenu du cours et examen final.</w:t>
      </w:r>
    </w:p>
    <w:p>
      <w:pPr>
        <w:spacing w:after="120" w:line="276" w:lineRule="auto"/>
        <w:jc w:val="both"/>
      </w:pPr>
      <w:r>
        <w:rPr>
          <w:rFonts w:ascii="Times New Roman" w:hAnsi="Times New Roman"/>
          <w:i w:val="0"/>
          <w:sz w:val="24"/>
        </w:rPr>
        <w:t>Enfin, l'espace de pilotage GPEC présente la cartographie agrégée des compétences et l'analyse des écarts, depuis laquelle une formation peut être assignée pour résorber une tension — matérialisant le passage de l'analyse à l'action.</w:t>
      </w:r>
    </w:p>
    <w:p>
      <w:pPr>
        <w:spacing w:before="80" w:after="200"/>
        <w:jc w:val="center"/>
      </w:pPr>
      <w:r>
        <w:rPr>
          <w:rFonts w:ascii="Times New Roman" w:hAnsi="Times New Roman"/>
          <w:i/>
          <w:color w:val="555555"/>
          <w:sz w:val="21"/>
        </w:rPr>
        <w:t>Figure 5.6 — Cartographie GPEC et plan d'action.</w:t>
      </w:r>
    </w:p>
    <w:p>
      <w:pPr>
        <w:pStyle w:val="Heading2"/>
      </w:pPr>
      <w:r>
        <w:rPr>
          <w:rFonts w:ascii="Times New Roman" w:hAnsi="Times New Roman"/>
          <w:color w:val="1F4E79"/>
          <w:sz w:val="28"/>
        </w:rPr>
        <w:t>5.4 Validation fonctionnelle du référentiel vivant</w:t>
      </w:r>
    </w:p>
    <w:p>
      <w:pPr>
        <w:spacing w:after="120" w:line="276" w:lineRule="auto"/>
        <w:jc w:val="both"/>
      </w:pPr>
      <w:r>
        <w:rPr>
          <w:rFonts w:ascii="Times New Roman" w:hAnsi="Times New Roman"/>
          <w:i w:val="0"/>
          <w:sz w:val="24"/>
        </w:rPr>
        <w:t>La contribution centrale — un référentiel qui se réalimente par la formation — a fait l'objet d'une validation par scénarios, exécutée de bout en bout à travers les interfaces réelles des trois applications.</w:t>
      </w:r>
    </w:p>
    <w:p>
      <w:pPr>
        <w:spacing w:after="120" w:line="276" w:lineRule="auto"/>
        <w:jc w:val="both"/>
      </w:pPr>
      <w:r>
        <w:rPr>
          <w:rFonts w:ascii="Times New Roman" w:hAnsi="Times New Roman"/>
          <w:i w:val="0"/>
          <w:sz w:val="24"/>
        </w:rPr>
        <w:t>Le premier scénario vérifie le caractère conditionnel de la validation d'une compétence. Un apprenant suit un cours validant la compétence « Python » et passe son examen final. Tant que l'examen est échoué, le niveau de compétence demeure inchangé ; dès qu'il est réussi, et seulement alors, le niveau est relevé dans le profil. La preuve d'acquisition, corrigée côté serveur, conditionne strictement la mise à jour du référentiel.</w:t>
      </w:r>
    </w:p>
    <w:p>
      <w:pPr>
        <w:spacing w:after="120" w:line="276" w:lineRule="auto"/>
        <w:jc w:val="both"/>
      </w:pPr>
      <w:r>
        <w:rPr>
          <w:rFonts w:ascii="Times New Roman" w:hAnsi="Times New Roman"/>
          <w:i w:val="0"/>
          <w:sz w:val="24"/>
        </w:rPr>
        <w:t>Le second scénario vérifie la propagation de cette montée jusqu'à la cartographie organisationnelle. Avant la formation, la compétence « Python » apparaît en tension dans la vue GPEC (couverture partielle) ; après réussite de l'examen par les employés concernés via l'action d'assignation, la même compétence bascule à l'état couvert. La double écriture du niveau, à la fois sur le profil candidat et sur le profil employé, garantit que la montée se reflète quel que soit l'angle d'observation.</w:t>
      </w:r>
    </w:p>
    <w:p>
      <w:pPr>
        <w:spacing w:after="120" w:line="276" w:lineRule="auto"/>
        <w:jc w:val="both"/>
      </w:pPr>
      <w:r>
        <w:rPr>
          <w:rFonts w:ascii="Times New Roman" w:hAnsi="Times New Roman"/>
          <w:i w:val="0"/>
          <w:sz w:val="24"/>
        </w:rPr>
        <w:t>Ces résultats établissent que les trois mécanismes — portabilité du profil, synchronisation formation-compétence et analyse des écarts — fonctionnent de concert : une action de formation produit un effet observable et cohérent depuis l'individu jusqu'au pilotage organisationnel. La boucle vivante est ainsi démontrée opérationnelle.</w:t>
      </w:r>
    </w:p>
    <w:p>
      <w:pPr>
        <w:pStyle w:val="Heading2"/>
      </w:pPr>
      <w:r>
        <w:rPr>
          <w:rFonts w:ascii="Times New Roman" w:hAnsi="Times New Roman"/>
          <w:color w:val="1F4E79"/>
          <w:sz w:val="28"/>
        </w:rPr>
        <w:t>5.5 Portée et limites de la validation</w:t>
      </w:r>
    </w:p>
    <w:p>
      <w:pPr>
        <w:spacing w:after="120" w:line="276" w:lineRule="auto"/>
        <w:jc w:val="both"/>
      </w:pPr>
      <w:r>
        <w:rPr>
          <w:rFonts w:ascii="Times New Roman" w:hAnsi="Times New Roman"/>
          <w:i w:val="0"/>
          <w:sz w:val="24"/>
        </w:rPr>
        <w:t>La validation conduite est de nature fonctionnelle : elle établit que les mécanismes produisent les effets attendus dans des scénarios maîtrisés, exécutés de bout en bout. Elle ne constitue pas, à ce stade, une validation par l'usage : le dispositif n'a pas encore été éprouvé auprès d'une cohorte réelle d'utilisateurs ni mesuré par des indicateurs d'appropriation ou d'efficacité pédagogique sur la durée. Cette évaluation en situation, à l'échelle de directions métiers de l'IFDC, relève des perspectives du projet et est traitée comme telle au chapitre suivant. Plusieurs limites techniques connues — la coexistence de deux espaces d'identifiants pour l'assignation des formations, l'absence d'activation de l'API France Travail faute de clés, ou la cohabitation de deux systèmes de formation unifiés au seul niveau de la vue — sont également documentées et n'altèrent pas la démonstration de la boucle, mais bornent honnêtement la portée des résultats.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