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F497D"/>
          <w:sz w:val="32"/>
        </w:rPr>
        <w:t>Limites et perspectives</w:t>
      </w:r>
    </w:p>
    <w:p>
      <w:pPr>
        <w:spacing w:after="120"/>
        <w:ind w:firstLine="567"/>
        <w:jc w:val="both"/>
      </w:pPr>
      <w:r>
        <w:rPr>
          <w:rFonts w:ascii="Times New Roman" w:hAnsi="Times New Roman"/>
          <w:sz w:val="24"/>
        </w:rPr>
        <w:t>Toute réalisation comporte des limites qui en délimitent la portée et ouvrent autant de pistes. Nous les exposons sans complaisance, car elles précisent ce que le système prétend — et ne prétend pas — accomplir, et dessinent un programme d'évolution cohérent avec sa vision.</w:t>
      </w:r>
    </w:p>
    <w:p>
      <w:pPr>
        <w:pStyle w:val="Heading2"/>
      </w:pPr>
      <w:r>
        <w:rPr>
          <w:rFonts w:ascii="Times New Roman" w:hAnsi="Times New Roman"/>
          <w:color w:val="2E74B5"/>
          <w:sz w:val="28"/>
        </w:rPr>
        <w:t>1. Limites</w:t>
      </w:r>
    </w:p>
    <w:p>
      <w:pPr>
        <w:spacing w:after="120"/>
        <w:ind w:firstLine="567"/>
        <w:jc w:val="both"/>
      </w:pPr>
      <w:r>
        <w:rPr>
          <w:rFonts w:ascii="Times New Roman" w:hAnsi="Times New Roman"/>
          <w:sz w:val="24"/>
        </w:rPr>
        <w:t>Le système exploite des compétences déclarées, par les individus eux-mêmes ou par les gestionnaires. Ses résultats constituent une aide à la décision, et non une mesure de la compétence réelle, qui ne s'observe qu'en situation de travail. Cette limite, assumée dès la conception, appelle des dispositifs complémentaires d'évaluation — mises en situation, entretiens professionnels — pour les décisions à fort enjeu.</w:t>
      </w:r>
    </w:p>
    <w:p>
      <w:pPr>
        <w:spacing w:after="120"/>
        <w:ind w:firstLine="567"/>
        <w:jc w:val="both"/>
      </w:pPr>
      <w:r>
        <w:rPr>
          <w:rFonts w:ascii="Times New Roman" w:hAnsi="Times New Roman"/>
          <w:sz w:val="24"/>
        </w:rPr>
        <w:t>Le caractère vivant du référentiel connaît par ailleurs une portée précise. Ce qui se met à jour en continu, ce sont les profils individuels ; la structure même du référentiel — l'inventaire des compétences et le répertoire des métiers de référence — demeure maintenue par l'organisation. Le référentiel est donc vivant dans son instanciation par individu, non encore dans sa structure.</w:t>
      </w:r>
    </w:p>
    <w:p>
      <w:pPr>
        <w:spacing w:after="120"/>
        <w:ind w:firstLine="567"/>
        <w:jc w:val="both"/>
      </w:pPr>
      <w:r>
        <w:rPr>
          <w:rFonts w:ascii="Times New Roman" w:hAnsi="Times New Roman"/>
          <w:sz w:val="24"/>
        </w:rPr>
        <w:t>Le score de potentiel, ensuite, estime la transférabilité des acquis par la proximité entre domaines métiers. Il constitue un proxy structurel de la capacité d'évolution, et non une mesure de l'aptitude propre de l'individu à apprendre. Les dimensions de motivation (le vouloir-agir) et de contexte organisationnel (le pouvoir-agir), évoquées au cadre théorique, ne sont pas modélisées.</w:t>
      </w:r>
    </w:p>
    <w:p>
      <w:pPr>
        <w:spacing w:after="120"/>
        <w:ind w:firstLine="567"/>
        <w:jc w:val="both"/>
      </w:pPr>
      <w:r>
        <w:rPr>
          <w:rFonts w:ascii="Times New Roman" w:hAnsi="Times New Roman"/>
          <w:sz w:val="24"/>
        </w:rPr>
        <w:t>Deux intégrations externes restent partielles. Le référentiel ROME est exploité pour sa taxonomie et ses compétences typiques, mais ses tables de mobilité professionnelle — fondées sur des transitions réelles — ne le sont pas encore pour affiner le calcul du potentiel ; et l'enrichissement par l'API France Travail, bien que prêt, requiert des identifiants d'accès pour être activé.</w:t>
      </w:r>
    </w:p>
    <w:p>
      <w:pPr>
        <w:spacing w:after="120"/>
        <w:ind w:firstLine="567"/>
        <w:jc w:val="both"/>
      </w:pPr>
      <w:r>
        <w:rPr>
          <w:rFonts w:ascii="Times New Roman" w:hAnsi="Times New Roman"/>
          <w:sz w:val="24"/>
        </w:rPr>
        <w:t>Sur le plan technique enfin, deux coutures internes subsistent : les formations internes et les cours du LMS, unifiés à la vue de l'employé mais non au niveau du modèle de données ; et l'assignation d'une formation, qui s'appuie, selon le chemin emprunté, sur deux identifiants distincts de l'employé. Leur unification consoliderait la cohérence d'ensemble du système.</w:t>
      </w:r>
    </w:p>
    <w:p>
      <w:pPr>
        <w:pStyle w:val="Heading2"/>
      </w:pPr>
      <w:r>
        <w:rPr>
          <w:rFonts w:ascii="Times New Roman" w:hAnsi="Times New Roman"/>
          <w:color w:val="2E74B5"/>
          <w:sz w:val="28"/>
        </w:rPr>
        <w:t>2. Perspectives</w:t>
      </w:r>
    </w:p>
    <w:p>
      <w:pPr>
        <w:spacing w:after="120"/>
        <w:ind w:firstLine="567"/>
        <w:jc w:val="both"/>
      </w:pPr>
      <w:r>
        <w:rPr>
          <w:rFonts w:ascii="Times New Roman" w:hAnsi="Times New Roman"/>
          <w:sz w:val="24"/>
        </w:rPr>
        <w:t>Ces limites tracent, en creux, un programme d'évolution cohérent.</w:t>
      </w:r>
    </w:p>
    <w:p>
      <w:pPr>
        <w:spacing w:after="120"/>
        <w:ind w:firstLine="567"/>
        <w:jc w:val="both"/>
      </w:pPr>
      <w:r>
        <w:rPr>
          <w:rFonts w:ascii="Times New Roman" w:hAnsi="Times New Roman"/>
          <w:sz w:val="24"/>
        </w:rPr>
        <w:t>La première perspective consiste à rendre la structure du référentiel elle-même évolutive. L'extraction automatique de compétences depuis les curriculums et les contenus de formation, par traitement du langage naturel, permettrait de faire émerger de nouvelles compétences et d'enrichir le référentiel sans intervention manuelle — franchissant ainsi le pas qui sépare un référentiel vivant par instanciation d'un référentiel vivant par structure.</w:t>
      </w:r>
    </w:p>
    <w:p>
      <w:pPr>
        <w:spacing w:after="120"/>
        <w:ind w:firstLine="567"/>
        <w:jc w:val="both"/>
      </w:pPr>
      <w:r>
        <w:rPr>
          <w:rFonts w:ascii="Times New Roman" w:hAnsi="Times New Roman"/>
          <w:sz w:val="24"/>
        </w:rPr>
        <w:t>La deuxième vise à approcher les dimensions aujourd'hui absentes de la compétence. Les signaux d'engagement déjà présents dans le système — l'inscription volontaire à une formation, le rythme de progression — constituent autant d'indices du vouloir-agir qu'il serait possible d'exploiter, ouvrant la voie à une estimation plus fidèle du potentiel.</w:t>
      </w:r>
    </w:p>
    <w:p>
      <w:pPr>
        <w:spacing w:after="120"/>
        <w:ind w:firstLine="567"/>
        <w:jc w:val="both"/>
      </w:pPr>
      <w:r>
        <w:rPr>
          <w:rFonts w:ascii="Times New Roman" w:hAnsi="Times New Roman"/>
          <w:sz w:val="24"/>
        </w:rPr>
        <w:t>La troisième consiste à exploiter pleinement le référentiel ROME — ses passerelles de mobilité — pour affiner le calcul du potentiel, et à compléter le matching par règles d'une composante d'analyse sémantique des profils, vers une approche hybride alliant transparence et finesse.</w:t>
      </w:r>
    </w:p>
    <w:p>
      <w:pPr>
        <w:spacing w:after="120"/>
        <w:ind w:firstLine="567"/>
        <w:jc w:val="both"/>
      </w:pPr>
      <w:r>
        <w:rPr>
          <w:rFonts w:ascii="Times New Roman" w:hAnsi="Times New Roman"/>
          <w:sz w:val="24"/>
        </w:rPr>
        <w:t>La dernière, enfin, ferait évoluer l'agrégation GPEC, aujourd'hui descriptive, vers une dimension prédictive : anticiper les besoins futurs en compétences à partir de l'évolution des postes et des mouvements de personnel, pour passer d'un pilotage réactif à un pilotage prospectif — l'horizon naturel d'une démarche d'ingénierie des compétences.</w:t>
      </w:r>
    </w:p>
    <w:p>
      <w:pPr>
        <w:spacing w:after="120"/>
        <w:ind w:firstLine="567"/>
        <w:jc w:val="both"/>
      </w:pPr>
      <w:r>
        <w:rPr>
          <w:rFonts w:ascii="Times New Roman" w:hAnsi="Times New Roman"/>
          <w:sz w:val="24"/>
        </w:rPr>
        <w:t>Ces perspectives partagent une même orientation : approfondir le caractère vivant du référentiel, jusqu'à ce que sa structure, et non plus seulement son instanciation, se nourrisse en continu de la vie de l'organisation.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