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4F29AC">
      <w:pPr>
        <w:rPr>
          <w:color w:val="auto"/>
        </w:rPr>
      </w:pPr>
    </w:p>
    <w:p w14:paraId="7E0595F8">
      <w:pPr>
        <w:jc w:val="center"/>
        <w:rPr>
          <w:color w:val="auto"/>
        </w:rPr>
      </w:pPr>
      <w:r>
        <w:rPr>
          <w:rFonts w:ascii="Times New Roman" w:hAnsi="Times New Roman"/>
          <w:b/>
          <w:i w:val="0"/>
          <w:color w:val="auto"/>
          <w:sz w:val="28"/>
        </w:rPr>
        <w:t>OFFICE NATIONAL DES CHEMINS DE FER – ONCF</w:t>
      </w:r>
    </w:p>
    <w:p w14:paraId="15484C9A">
      <w:pPr>
        <w:jc w:val="center"/>
        <w:rPr>
          <w:color w:val="auto"/>
        </w:rPr>
      </w:pPr>
      <w:r>
        <w:rPr>
          <w:rFonts w:ascii="Times New Roman" w:hAnsi="Times New Roman"/>
          <w:b/>
          <w:i w:val="0"/>
          <w:color w:val="auto"/>
          <w:sz w:val="26"/>
        </w:rPr>
        <w:t>Institut de Formation et de Développement des Compétences – IFDC</w:t>
      </w:r>
    </w:p>
    <w:p w14:paraId="051A4E7F">
      <w:pPr>
        <w:rPr>
          <w:color w:val="auto"/>
        </w:rPr>
      </w:pPr>
    </w:p>
    <w:p w14:paraId="331B3ABF">
      <w:pPr>
        <w:rPr>
          <w:color w:val="auto"/>
        </w:rPr>
      </w:pPr>
    </w:p>
    <w:p w14:paraId="655345EE">
      <w:pPr>
        <w:jc w:val="center"/>
        <w:rPr>
          <w:color w:val="auto"/>
        </w:rPr>
      </w:pPr>
      <w:r>
        <w:rPr>
          <w:rFonts w:ascii="Times New Roman" w:hAnsi="Times New Roman"/>
          <w:b/>
          <w:i w:val="0"/>
          <w:color w:val="auto"/>
          <w:sz w:val="36"/>
        </w:rPr>
        <w:t>MÉMOIRE DE FIN D'ÉTUDES</w:t>
      </w:r>
    </w:p>
    <w:p w14:paraId="14007FAC">
      <w:pPr>
        <w:jc w:val="center"/>
        <w:rPr>
          <w:color w:val="auto"/>
        </w:rPr>
      </w:pPr>
      <w:r>
        <w:rPr>
          <w:rFonts w:ascii="Times New Roman" w:hAnsi="Times New Roman"/>
          <w:b/>
          <w:i w:val="0"/>
          <w:color w:val="auto"/>
          <w:sz w:val="26"/>
        </w:rPr>
        <w:t>Master Spécialisé en Ingénierie des Compétences et Transformation Digitale</w:t>
      </w:r>
    </w:p>
    <w:p w14:paraId="68D16EE9">
      <w:pPr>
        <w:rPr>
          <w:color w:val="auto"/>
        </w:rPr>
      </w:pPr>
    </w:p>
    <w:p w14:paraId="218AB801">
      <w:pPr>
        <w:rPr>
          <w:color w:val="auto"/>
        </w:rPr>
      </w:pPr>
    </w:p>
    <w:p w14:paraId="6E4EC83A">
      <w:pPr>
        <w:jc w:val="center"/>
        <w:rPr>
          <w:color w:val="auto"/>
        </w:rPr>
      </w:pPr>
      <w:r>
        <w:rPr>
          <w:rFonts w:ascii="Times New Roman" w:hAnsi="Times New Roman"/>
          <w:b/>
          <w:i w:val="0"/>
          <w:color w:val="auto"/>
          <w:sz w:val="24"/>
        </w:rPr>
        <w:t>TITRE DU PROJET</w:t>
      </w:r>
    </w:p>
    <w:p w14:paraId="14F19D12">
      <w:pPr>
        <w:jc w:val="center"/>
        <w:rPr>
          <w:color w:val="auto"/>
        </w:rPr>
      </w:pPr>
      <w:r>
        <w:rPr>
          <w:rFonts w:ascii="Times New Roman" w:hAnsi="Times New Roman"/>
          <w:b/>
          <w:i w:val="0"/>
          <w:color w:val="auto"/>
          <w:sz w:val="32"/>
        </w:rPr>
        <w:t>RecruitPRO : Conception et Développement d'une Plateforme Intégrée</w:t>
      </w:r>
      <w:r>
        <w:rPr>
          <w:rFonts w:ascii="Times New Roman" w:hAnsi="Times New Roman"/>
          <w:b/>
          <w:i w:val="0"/>
          <w:color w:val="auto"/>
          <w:sz w:val="32"/>
        </w:rPr>
        <w:br w:type="textWrapping"/>
      </w:r>
      <w:r>
        <w:rPr>
          <w:rFonts w:ascii="Times New Roman" w:hAnsi="Times New Roman"/>
          <w:b/>
          <w:i w:val="0"/>
          <w:color w:val="auto"/>
          <w:sz w:val="32"/>
        </w:rPr>
        <w:t>de Gestion des Compétences, du Recrutement et de la Formation</w:t>
      </w:r>
      <w:r>
        <w:rPr>
          <w:rFonts w:ascii="Times New Roman" w:hAnsi="Times New Roman"/>
          <w:b/>
          <w:i w:val="0"/>
          <w:color w:val="auto"/>
          <w:sz w:val="32"/>
        </w:rPr>
        <w:br w:type="textWrapping"/>
      </w:r>
      <w:r>
        <w:rPr>
          <w:rFonts w:ascii="Times New Roman" w:hAnsi="Times New Roman"/>
          <w:b/>
          <w:i w:val="0"/>
          <w:color w:val="auto"/>
          <w:sz w:val="32"/>
        </w:rPr>
        <w:t>au Service de la Transformation RH de l'ONCF</w:t>
      </w:r>
    </w:p>
    <w:p w14:paraId="758872DB">
      <w:pPr>
        <w:rPr>
          <w:color w:val="auto"/>
        </w:rPr>
      </w:pPr>
    </w:p>
    <w:p w14:paraId="04DBA5CD">
      <w:pPr>
        <w:rPr>
          <w:color w:val="auto"/>
        </w:rPr>
      </w:pPr>
    </w:p>
    <w:p w14:paraId="3CD8DAAC">
      <w:pPr>
        <w:rPr>
          <w:color w:val="auto"/>
        </w:rPr>
      </w:pPr>
    </w:p>
    <w:p w14:paraId="0088FDC4">
      <w:pPr>
        <w:jc w:val="center"/>
        <w:rPr>
          <w:color w:val="auto"/>
        </w:rPr>
      </w:pPr>
      <w:r>
        <w:rPr>
          <w:rFonts w:ascii="Times New Roman" w:hAnsi="Times New Roman"/>
          <w:b w:val="0"/>
          <w:i w:val="0"/>
          <w:color w:val="auto"/>
          <w:sz w:val="24"/>
        </w:rPr>
        <w:t>Réalisé par :</w:t>
      </w:r>
    </w:p>
    <w:p w14:paraId="6B72EA38">
      <w:pPr>
        <w:jc w:val="center"/>
        <w:rPr>
          <w:color w:val="auto"/>
        </w:rPr>
      </w:pPr>
      <w:r>
        <w:rPr>
          <w:rFonts w:ascii="Times New Roman" w:hAnsi="Times New Roman"/>
          <w:b/>
          <w:i w:val="0"/>
          <w:color w:val="auto"/>
          <w:sz w:val="28"/>
        </w:rPr>
        <w:t>[NOM PRÉNOM DE L'ÉTUDIANT]</w:t>
      </w:r>
    </w:p>
    <w:p w14:paraId="63990090">
      <w:pPr>
        <w:rPr>
          <w:color w:val="auto"/>
        </w:rPr>
      </w:pPr>
    </w:p>
    <w:p w14:paraId="52F40A20">
      <w:pPr>
        <w:jc w:val="center"/>
        <w:rPr>
          <w:color w:val="auto"/>
        </w:rPr>
      </w:pPr>
      <w:r>
        <w:rPr>
          <w:rFonts w:ascii="Times New Roman" w:hAnsi="Times New Roman"/>
          <w:b w:val="0"/>
          <w:i w:val="0"/>
          <w:color w:val="auto"/>
          <w:sz w:val="24"/>
        </w:rPr>
        <w:t>Encadrant académique : [Nom Encadrant Académique]</w:t>
      </w:r>
      <w:r>
        <w:rPr>
          <w:rFonts w:ascii="Times New Roman" w:hAnsi="Times New Roman"/>
          <w:b w:val="0"/>
          <w:i w:val="0"/>
          <w:color w:val="auto"/>
          <w:sz w:val="24"/>
        </w:rPr>
        <w:br w:type="textWrapping"/>
      </w:r>
      <w:r>
        <w:rPr>
          <w:rFonts w:ascii="Times New Roman" w:hAnsi="Times New Roman"/>
          <w:b w:val="0"/>
          <w:i w:val="0"/>
          <w:color w:val="auto"/>
          <w:sz w:val="24"/>
        </w:rPr>
        <w:t>Encadrant professionnel : [Nom Encadrant IFDC/ONCF]</w:t>
      </w:r>
    </w:p>
    <w:p w14:paraId="41E556FA">
      <w:pPr>
        <w:rPr>
          <w:color w:val="auto"/>
        </w:rPr>
      </w:pPr>
    </w:p>
    <w:p w14:paraId="07753F16">
      <w:pPr>
        <w:rPr>
          <w:color w:val="auto"/>
        </w:rPr>
      </w:pPr>
    </w:p>
    <w:p w14:paraId="42A383B4">
      <w:pPr>
        <w:jc w:val="center"/>
        <w:rPr>
          <w:color w:val="auto"/>
        </w:rPr>
      </w:pPr>
      <w:r>
        <w:rPr>
          <w:rFonts w:ascii="Times New Roman" w:hAnsi="Times New Roman"/>
          <w:b w:val="0"/>
          <w:i w:val="0"/>
          <w:color w:val="auto"/>
          <w:sz w:val="24"/>
        </w:rPr>
        <w:t>Année universitaire 2024–2025</w:t>
      </w:r>
    </w:p>
    <w:p w14:paraId="363141BC">
      <w:pPr>
        <w:rPr>
          <w:color w:val="auto"/>
        </w:rPr>
      </w:pPr>
      <w:r>
        <w:rPr>
          <w:color w:val="auto"/>
        </w:rPr>
        <w:br w:type="page"/>
      </w:r>
    </w:p>
    <w:p w14:paraId="744DC68A">
      <w:pPr>
        <w:pStyle w:val="2"/>
        <w:jc w:val="left"/>
        <w:rPr>
          <w:color w:val="auto"/>
        </w:rPr>
      </w:pPr>
      <w:r>
        <w:rPr>
          <w:rFonts w:ascii="Times New Roman" w:hAnsi="Times New Roman"/>
          <w:color w:val="auto"/>
          <w:sz w:val="32"/>
        </w:rPr>
        <w:t>Résumé</w:t>
      </w:r>
    </w:p>
    <w:p w14:paraId="33BA549F">
      <w:pPr>
        <w:spacing w:after="120"/>
        <w:ind w:firstLine="567"/>
        <w:jc w:val="both"/>
        <w:rPr>
          <w:color w:val="auto"/>
        </w:rPr>
      </w:pPr>
      <w:r>
        <w:rPr>
          <w:rFonts w:ascii="Times New Roman" w:hAnsi="Times New Roman"/>
          <w:b w:val="0"/>
          <w:i w:val="0"/>
          <w:color w:val="auto"/>
          <w:sz w:val="24"/>
        </w:rPr>
        <w:t>Ce mémoire présente la conception et le développement de RecruitPRO, une plateforme SaaS intégrée de gestion des ressources humaines développée dans le cadre d'un projet de fin d'études réalisé au sein de l'Institut de Formation et de Développement des Compétences (IFDC) de l'Office National des Chemins de Fer (ONCF). Face aux enjeux croissants de la transformation digitale du secteur ferroviaire et à la nécessité d'une gestion plus agile et stratégique du capital humain, la plateforme RecruitPRO répond à une triple problématique : moderniser les processus de recrutement externe, fluidifier la mobilité interne et centraliser le pilotage des formations.</w:t>
      </w:r>
    </w:p>
    <w:p w14:paraId="6EA4A752">
      <w:pPr>
        <w:spacing w:after="120"/>
        <w:ind w:firstLine="567"/>
        <w:jc w:val="both"/>
        <w:rPr>
          <w:color w:val="auto"/>
        </w:rPr>
      </w:pPr>
      <w:r>
        <w:rPr>
          <w:rFonts w:ascii="Times New Roman" w:hAnsi="Times New Roman"/>
          <w:b w:val="0"/>
          <w:i w:val="0"/>
          <w:color w:val="auto"/>
          <w:sz w:val="24"/>
        </w:rPr>
        <w:t>La solution proposée s'articule autour de trois modules complémentaires et interopérables : un système de suivi des candidatures (ATS) doté d'un moteur de matching algorithmique basé sur une approche multicritère (compétences, expérience, formation), un espace RH dédié à la gestion des employés, de l'organigramme et des postes de mobilité interne, et un système de gestion de la formation (LMS) intégré par une architecture d'authentification unique (SSO). L'ensemble est conçu selon une approche multi-tenant permettant d'isoler les données de chaque entité organisationnelle tout en partageant une infrastructure commune.</w:t>
      </w:r>
    </w:p>
    <w:p w14:paraId="2EB30153">
      <w:pPr>
        <w:spacing w:after="120"/>
        <w:ind w:firstLine="567"/>
        <w:jc w:val="both"/>
        <w:rPr>
          <w:color w:val="auto"/>
        </w:rPr>
      </w:pPr>
      <w:r>
        <w:rPr>
          <w:rFonts w:ascii="Times New Roman" w:hAnsi="Times New Roman"/>
          <w:b w:val="0"/>
          <w:i w:val="0"/>
          <w:color w:val="auto"/>
          <w:sz w:val="24"/>
        </w:rPr>
        <w:t>Sur le plan technique, la plateforme repose sur une architecture moderne : API REST en FastAPI (Python), deux interfaces Next.js (TypeScript), une base de données relationnelle PostgreSQL et une base documentaire MongoDB pour le LMS. Le moteur de matching intègre une analyse de l'écart de compétences (skill gap) et exploite un référentiel métier ROME pour évaluer le potentiel de reconversion et d'évolution des candidats.</w:t>
      </w:r>
    </w:p>
    <w:p w14:paraId="45597F5B">
      <w:pPr>
        <w:spacing w:after="120"/>
        <w:ind w:firstLine="567"/>
        <w:jc w:val="both"/>
        <w:rPr>
          <w:color w:val="auto"/>
        </w:rPr>
      </w:pPr>
      <w:r>
        <w:rPr>
          <w:rFonts w:ascii="Times New Roman" w:hAnsi="Times New Roman"/>
          <w:b w:val="0"/>
          <w:i w:val="0"/>
          <w:color w:val="auto"/>
          <w:sz w:val="24"/>
        </w:rPr>
        <w:t>Les résultats obtenus démontrent la viabilité technique et la pertinence métier de la solution dans un contexte d'organisation publique complexe comme l'ONCF, et ouvrent des perspectives d'enrichissement vers des fonctionnalités d'analyse prédictive et de recommandation personnalisée de parcours de formation.</w:t>
      </w:r>
    </w:p>
    <w:p w14:paraId="4439AEAF">
      <w:pPr>
        <w:rPr>
          <w:color w:val="auto"/>
        </w:rPr>
      </w:pPr>
    </w:p>
    <w:p w14:paraId="37290006">
      <w:pPr>
        <w:rPr>
          <w:color w:val="auto"/>
        </w:rPr>
      </w:pPr>
      <w:r>
        <w:rPr>
          <w:rFonts w:ascii="Times New Roman" w:hAnsi="Times New Roman"/>
          <w:b/>
          <w:i w:val="0"/>
          <w:color w:val="auto"/>
          <w:sz w:val="22"/>
        </w:rPr>
        <w:t xml:space="preserve">Mots-clés : </w:t>
      </w:r>
      <w:r>
        <w:rPr>
          <w:rFonts w:ascii="Times New Roman" w:hAnsi="Times New Roman"/>
          <w:b w:val="0"/>
          <w:i/>
          <w:color w:val="auto"/>
          <w:sz w:val="22"/>
        </w:rPr>
        <w:t>gestion des compétences, GPEC, recrutement digital, LMS, ATS, moteur de matching, mobilité interne, SSO, FastAPI, Next.js, ONCF, IFDC, transformation digitale RH.</w:t>
      </w:r>
    </w:p>
    <w:p w14:paraId="5DDB02BA">
      <w:pPr>
        <w:rPr>
          <w:color w:val="auto"/>
        </w:rPr>
      </w:pPr>
    </w:p>
    <w:p w14:paraId="57C03DC1">
      <w:pPr>
        <w:pStyle w:val="2"/>
        <w:jc w:val="left"/>
        <w:rPr>
          <w:color w:val="auto"/>
        </w:rPr>
      </w:pPr>
      <w:r>
        <w:rPr>
          <w:rFonts w:ascii="Times New Roman" w:hAnsi="Times New Roman"/>
          <w:color w:val="auto"/>
          <w:sz w:val="32"/>
        </w:rPr>
        <w:t>Abstract</w:t>
      </w:r>
    </w:p>
    <w:p w14:paraId="7056F171">
      <w:pPr>
        <w:spacing w:after="120"/>
        <w:ind w:firstLine="567"/>
        <w:jc w:val="both"/>
        <w:rPr>
          <w:color w:val="auto"/>
        </w:rPr>
      </w:pPr>
      <w:r>
        <w:rPr>
          <w:rFonts w:ascii="Times New Roman" w:hAnsi="Times New Roman"/>
          <w:b w:val="0"/>
          <w:i w:val="0"/>
          <w:color w:val="auto"/>
          <w:sz w:val="24"/>
        </w:rPr>
        <w:t>This thesis presents the design and development of RecruitPRO, an integrated HR SaaS platform built during a final year internship at the Institut de Formation et de Développement des Compétences (IFDC) of the Office National des Chemins de Fer (ONCF). Responding to the digital transformation challenges of the railway sector and the need for more agile human capital management, RecruitPRO addresses three interconnected challenges: modernising external recruitment processes, streamlining internal mobility, and centralising training management.</w:t>
      </w:r>
    </w:p>
    <w:p w14:paraId="0E4044B7">
      <w:pPr>
        <w:spacing w:after="120"/>
        <w:ind w:firstLine="567"/>
        <w:jc w:val="both"/>
        <w:rPr>
          <w:color w:val="auto"/>
        </w:rPr>
      </w:pPr>
      <w:r>
        <w:rPr>
          <w:rFonts w:ascii="Times New Roman" w:hAnsi="Times New Roman"/>
          <w:b w:val="0"/>
          <w:i w:val="0"/>
          <w:color w:val="auto"/>
          <w:sz w:val="24"/>
        </w:rPr>
        <w:t>The solution consists of three interoperable modules: an Applicant Tracking System (ATS) with an algorithmic multi-criteria matching engine (skills, experience, education), an HR workspace for employee management, org chart and internal mobility positions, and a Learning Management System (LMS) integrated through a Single Sign-On (SSO) architecture. The platform is built on a multi-tenant model that isolates each organisational entity's data within a shared infrastructure.</w:t>
      </w:r>
    </w:p>
    <w:p w14:paraId="200C660E">
      <w:pPr>
        <w:rPr>
          <w:color w:val="auto"/>
        </w:rPr>
      </w:pPr>
      <w:r>
        <w:rPr>
          <w:rFonts w:ascii="Times New Roman" w:hAnsi="Times New Roman"/>
          <w:b/>
          <w:i w:val="0"/>
          <w:color w:val="auto"/>
          <w:sz w:val="22"/>
        </w:rPr>
        <w:t xml:space="preserve">Keywords: </w:t>
      </w:r>
      <w:r>
        <w:rPr>
          <w:rFonts w:ascii="Times New Roman" w:hAnsi="Times New Roman"/>
          <w:b w:val="0"/>
          <w:i/>
          <w:color w:val="auto"/>
          <w:sz w:val="22"/>
        </w:rPr>
        <w:t>skills management, competency gap, digital recruitment, LMS, ATS, matching engine, internal mobility, SSO, FastAPI, Next.js, ONCF, IFDC, HR digital transformation.</w:t>
      </w:r>
    </w:p>
    <w:p w14:paraId="0D5F8793">
      <w:pPr>
        <w:rPr>
          <w:color w:val="auto"/>
        </w:rPr>
      </w:pPr>
      <w:r>
        <w:rPr>
          <w:color w:val="auto"/>
        </w:rPr>
        <w:br w:type="page"/>
      </w:r>
    </w:p>
    <w:p w14:paraId="254C038D">
      <w:pPr>
        <w:pStyle w:val="2"/>
        <w:jc w:val="left"/>
        <w:rPr>
          <w:color w:val="auto"/>
        </w:rPr>
      </w:pPr>
      <w:r>
        <w:rPr>
          <w:rFonts w:ascii="Times New Roman" w:hAnsi="Times New Roman"/>
          <w:color w:val="auto"/>
          <w:sz w:val="32"/>
        </w:rPr>
        <w:t>Remerciements</w:t>
      </w:r>
    </w:p>
    <w:p w14:paraId="4AF83140">
      <w:pPr>
        <w:spacing w:after="120"/>
        <w:ind w:firstLine="567"/>
        <w:jc w:val="both"/>
        <w:rPr>
          <w:color w:val="auto"/>
        </w:rPr>
      </w:pPr>
      <w:r>
        <w:rPr>
          <w:rFonts w:ascii="Times New Roman" w:hAnsi="Times New Roman"/>
          <w:b w:val="0"/>
          <w:i w:val="0"/>
          <w:color w:val="auto"/>
          <w:sz w:val="24"/>
        </w:rPr>
        <w:t>Je tiens tout d'abord à exprimer ma profonde gratitude envers mon encadrant professionnel au sein de l'IFDC-ONCF, [Nom Encadrant Professionnel], pour la confiance accordée, la disponibilité dont il a fait preuve tout au long de ce projet, et les précieux conseils qui ont guidé mes choix techniques et métiers.</w:t>
      </w:r>
    </w:p>
    <w:p w14:paraId="2F9CEA12">
      <w:pPr>
        <w:spacing w:after="120"/>
        <w:ind w:firstLine="567"/>
        <w:jc w:val="both"/>
        <w:rPr>
          <w:color w:val="auto"/>
        </w:rPr>
      </w:pPr>
      <w:r>
        <w:rPr>
          <w:rFonts w:ascii="Times New Roman" w:hAnsi="Times New Roman"/>
          <w:b w:val="0"/>
          <w:i w:val="0"/>
          <w:color w:val="auto"/>
          <w:sz w:val="24"/>
        </w:rPr>
        <w:t>Je remercie également mon encadrant académique, [Nom Encadrant Académique], pour le suivi rigoureux de ce travail, ses orientations bibliographiques et l'exigence académique qu'il a maintenue tout au long de la réalisation de ce mémoire.</w:t>
      </w:r>
    </w:p>
    <w:p w14:paraId="40F53C27">
      <w:pPr>
        <w:spacing w:after="120"/>
        <w:ind w:firstLine="567"/>
        <w:jc w:val="both"/>
        <w:rPr>
          <w:color w:val="auto"/>
        </w:rPr>
      </w:pPr>
      <w:r>
        <w:rPr>
          <w:rFonts w:ascii="Times New Roman" w:hAnsi="Times New Roman"/>
          <w:b w:val="0"/>
          <w:i w:val="0"/>
          <w:color w:val="auto"/>
          <w:sz w:val="24"/>
        </w:rPr>
        <w:t>Mes remerciements vont aussi à l'ensemble des équipes de l'IFDC et de la Direction des Ressources Humaines de l'ONCF pour leur disponibilité lors des séances de recueil des besoins, et pour le temps qu'ils ont bien voulu consacrer aux entretiens et à la validation fonctionnelle de la plateforme.</w:t>
      </w:r>
    </w:p>
    <w:p w14:paraId="0A0DD02E">
      <w:pPr>
        <w:spacing w:after="120"/>
        <w:ind w:firstLine="567"/>
        <w:jc w:val="both"/>
        <w:rPr>
          <w:color w:val="auto"/>
        </w:rPr>
      </w:pPr>
      <w:r>
        <w:rPr>
          <w:rFonts w:ascii="Times New Roman" w:hAnsi="Times New Roman"/>
          <w:b w:val="0"/>
          <w:i w:val="0"/>
          <w:color w:val="auto"/>
          <w:sz w:val="24"/>
        </w:rPr>
        <w:t>Je remercie enfin ma famille et mes proches pour leur soutien indéfectible, ainsi que mes collègues de promotion pour les échanges enrichissants qui ont nourri ma réflexion tout au long de ce cursus.</w:t>
      </w:r>
    </w:p>
    <w:p w14:paraId="1EB91AFA">
      <w:pPr>
        <w:rPr>
          <w:color w:val="auto"/>
        </w:rPr>
      </w:pPr>
      <w:r>
        <w:rPr>
          <w:color w:val="auto"/>
        </w:rPr>
        <w:br w:type="page"/>
      </w:r>
    </w:p>
    <w:p w14:paraId="31CF1845">
      <w:pPr>
        <w:pStyle w:val="2"/>
        <w:jc w:val="left"/>
        <w:rPr>
          <w:color w:val="auto"/>
        </w:rPr>
      </w:pPr>
      <w:r>
        <w:rPr>
          <w:rFonts w:ascii="Times New Roman" w:hAnsi="Times New Roman"/>
          <w:color w:val="auto"/>
          <w:sz w:val="32"/>
        </w:rPr>
        <w:t>Table des matières</w:t>
      </w:r>
    </w:p>
    <w:p w14:paraId="239A22B4">
      <w:pPr>
        <w:jc w:val="both"/>
        <w:rPr>
          <w:color w:val="auto"/>
        </w:rPr>
      </w:pPr>
      <w:r>
        <w:rPr>
          <w:rFonts w:ascii="Times New Roman" w:hAnsi="Times New Roman"/>
          <w:b w:val="0"/>
          <w:i/>
          <w:color w:val="auto"/>
          <w:sz w:val="22"/>
        </w:rPr>
        <w:t>[La table des matières sera générée automatiquement par Microsoft Word via : Références → Table des matières → Table automatique 1, après l'application des styles Titre 1/2/3 à l'ensemble du document.]</w:t>
      </w:r>
    </w:p>
    <w:p w14:paraId="3FD9522D">
      <w:pPr>
        <w:rPr>
          <w:color w:val="auto"/>
        </w:rPr>
      </w:pPr>
      <w:r>
        <w:rPr>
          <w:color w:val="auto"/>
        </w:rPr>
        <w:br w:type="page"/>
      </w:r>
    </w:p>
    <w:p w14:paraId="2041B373">
      <w:pPr>
        <w:pStyle w:val="2"/>
        <w:jc w:val="left"/>
        <w:rPr>
          <w:color w:val="auto"/>
        </w:rPr>
      </w:pPr>
      <w:r>
        <w:rPr>
          <w:rFonts w:ascii="Times New Roman" w:hAnsi="Times New Roman"/>
          <w:color w:val="auto"/>
          <w:sz w:val="32"/>
        </w:rPr>
        <w:t>Liste des abréviations</w:t>
      </w:r>
    </w:p>
    <w:p w14:paraId="7311FFF7">
      <w:pPr>
        <w:rPr>
          <w:color w:val="auto"/>
        </w:rPr>
      </w:pPr>
      <w:r>
        <w:rPr>
          <w:rFonts w:ascii="Times New Roman" w:hAnsi="Times New Roman"/>
          <w:b/>
          <w:i w:val="0"/>
          <w:color w:val="auto"/>
          <w:sz w:val="22"/>
        </w:rPr>
        <w:t xml:space="preserve">ONCF : </w:t>
      </w:r>
      <w:r>
        <w:rPr>
          <w:rFonts w:ascii="Times New Roman" w:hAnsi="Times New Roman"/>
          <w:b w:val="0"/>
          <w:i w:val="0"/>
          <w:color w:val="auto"/>
          <w:sz w:val="22"/>
        </w:rPr>
        <w:t>Office National des Chemins de Fer</w:t>
      </w:r>
    </w:p>
    <w:p w14:paraId="3834858D">
      <w:pPr>
        <w:rPr>
          <w:color w:val="auto"/>
        </w:rPr>
      </w:pPr>
      <w:r>
        <w:rPr>
          <w:rFonts w:ascii="Times New Roman" w:hAnsi="Times New Roman"/>
          <w:b/>
          <w:i w:val="0"/>
          <w:color w:val="auto"/>
          <w:sz w:val="22"/>
        </w:rPr>
        <w:t xml:space="preserve">IFDC : </w:t>
      </w:r>
      <w:r>
        <w:rPr>
          <w:rFonts w:ascii="Times New Roman" w:hAnsi="Times New Roman"/>
          <w:b w:val="0"/>
          <w:i w:val="0"/>
          <w:color w:val="auto"/>
          <w:sz w:val="22"/>
        </w:rPr>
        <w:t>Institut de Formation et de Développement des Compétences</w:t>
      </w:r>
    </w:p>
    <w:p w14:paraId="6DA843FB">
      <w:pPr>
        <w:rPr>
          <w:color w:val="auto"/>
        </w:rPr>
      </w:pPr>
      <w:r>
        <w:rPr>
          <w:rFonts w:ascii="Times New Roman" w:hAnsi="Times New Roman"/>
          <w:b/>
          <w:i w:val="0"/>
          <w:color w:val="auto"/>
          <w:sz w:val="22"/>
        </w:rPr>
        <w:t xml:space="preserve">ATS : </w:t>
      </w:r>
      <w:r>
        <w:rPr>
          <w:rFonts w:ascii="Times New Roman" w:hAnsi="Times New Roman"/>
          <w:b w:val="0"/>
          <w:i w:val="0"/>
          <w:color w:val="auto"/>
          <w:sz w:val="22"/>
        </w:rPr>
        <w:t>Applicant Tracking System – Système de suivi des candidatures</w:t>
      </w:r>
    </w:p>
    <w:p w14:paraId="43C00903">
      <w:pPr>
        <w:rPr>
          <w:color w:val="auto"/>
        </w:rPr>
      </w:pPr>
      <w:r>
        <w:rPr>
          <w:rFonts w:ascii="Times New Roman" w:hAnsi="Times New Roman"/>
          <w:b/>
          <w:i w:val="0"/>
          <w:color w:val="auto"/>
          <w:sz w:val="22"/>
        </w:rPr>
        <w:t xml:space="preserve">LMS : </w:t>
      </w:r>
      <w:r>
        <w:rPr>
          <w:rFonts w:ascii="Times New Roman" w:hAnsi="Times New Roman"/>
          <w:b w:val="0"/>
          <w:i w:val="0"/>
          <w:color w:val="auto"/>
          <w:sz w:val="22"/>
        </w:rPr>
        <w:t>Learning Management System – Système de gestion de la formation</w:t>
      </w:r>
    </w:p>
    <w:p w14:paraId="14D3A958">
      <w:pPr>
        <w:rPr>
          <w:color w:val="auto"/>
        </w:rPr>
      </w:pPr>
      <w:r>
        <w:rPr>
          <w:rFonts w:ascii="Times New Roman" w:hAnsi="Times New Roman"/>
          <w:b/>
          <w:i w:val="0"/>
          <w:color w:val="auto"/>
          <w:sz w:val="22"/>
        </w:rPr>
        <w:t xml:space="preserve">GPEC : </w:t>
      </w:r>
      <w:r>
        <w:rPr>
          <w:rFonts w:ascii="Times New Roman" w:hAnsi="Times New Roman"/>
          <w:b w:val="0"/>
          <w:i w:val="0"/>
          <w:color w:val="auto"/>
          <w:sz w:val="22"/>
        </w:rPr>
        <w:t>Gestion Prévisionnelle des Emplois et des Compétences</w:t>
      </w:r>
    </w:p>
    <w:p w14:paraId="034A82CF">
      <w:pPr>
        <w:rPr>
          <w:color w:val="auto"/>
        </w:rPr>
      </w:pPr>
      <w:r>
        <w:rPr>
          <w:rFonts w:ascii="Times New Roman" w:hAnsi="Times New Roman"/>
          <w:b/>
          <w:i w:val="0"/>
          <w:color w:val="auto"/>
          <w:sz w:val="22"/>
        </w:rPr>
        <w:t xml:space="preserve">RH / GRH : </w:t>
      </w:r>
      <w:r>
        <w:rPr>
          <w:rFonts w:ascii="Times New Roman" w:hAnsi="Times New Roman"/>
          <w:b w:val="0"/>
          <w:i w:val="0"/>
          <w:color w:val="auto"/>
          <w:sz w:val="22"/>
        </w:rPr>
        <w:t>Ressources Humaines / Gestion des Ressources Humaines</w:t>
      </w:r>
    </w:p>
    <w:p w14:paraId="53B7DD89">
      <w:pPr>
        <w:rPr>
          <w:color w:val="auto"/>
        </w:rPr>
      </w:pPr>
      <w:r>
        <w:rPr>
          <w:rFonts w:ascii="Times New Roman" w:hAnsi="Times New Roman"/>
          <w:b/>
          <w:i w:val="0"/>
          <w:color w:val="auto"/>
          <w:sz w:val="22"/>
        </w:rPr>
        <w:t xml:space="preserve">SIRH : </w:t>
      </w:r>
      <w:r>
        <w:rPr>
          <w:rFonts w:ascii="Times New Roman" w:hAnsi="Times New Roman"/>
          <w:b w:val="0"/>
          <w:i w:val="0"/>
          <w:color w:val="auto"/>
          <w:sz w:val="22"/>
        </w:rPr>
        <w:t>Système d'Information des Ressources Humaines</w:t>
      </w:r>
    </w:p>
    <w:p w14:paraId="449C58DF">
      <w:pPr>
        <w:rPr>
          <w:color w:val="auto"/>
        </w:rPr>
      </w:pPr>
      <w:r>
        <w:rPr>
          <w:rFonts w:ascii="Times New Roman" w:hAnsi="Times New Roman"/>
          <w:b/>
          <w:i w:val="0"/>
          <w:color w:val="auto"/>
          <w:sz w:val="22"/>
        </w:rPr>
        <w:t xml:space="preserve">SSO : </w:t>
      </w:r>
      <w:r>
        <w:rPr>
          <w:rFonts w:ascii="Times New Roman" w:hAnsi="Times New Roman"/>
          <w:b w:val="0"/>
          <w:i w:val="0"/>
          <w:color w:val="auto"/>
          <w:sz w:val="22"/>
        </w:rPr>
        <w:t>Single Sign-On – Authentification unique</w:t>
      </w:r>
    </w:p>
    <w:p w14:paraId="783F06F3">
      <w:pPr>
        <w:rPr>
          <w:color w:val="auto"/>
        </w:rPr>
      </w:pPr>
      <w:r>
        <w:rPr>
          <w:rFonts w:ascii="Times New Roman" w:hAnsi="Times New Roman"/>
          <w:b/>
          <w:i w:val="0"/>
          <w:color w:val="auto"/>
          <w:sz w:val="22"/>
        </w:rPr>
        <w:t xml:space="preserve">JWT : </w:t>
      </w:r>
      <w:r>
        <w:rPr>
          <w:rFonts w:ascii="Times New Roman" w:hAnsi="Times New Roman"/>
          <w:b w:val="0"/>
          <w:i w:val="0"/>
          <w:color w:val="auto"/>
          <w:sz w:val="22"/>
        </w:rPr>
        <w:t>JSON Web Token – Jeton d'authentification</w:t>
      </w:r>
    </w:p>
    <w:p w14:paraId="3C5F4BEA">
      <w:pPr>
        <w:rPr>
          <w:color w:val="auto"/>
        </w:rPr>
      </w:pPr>
      <w:r>
        <w:rPr>
          <w:rFonts w:ascii="Times New Roman" w:hAnsi="Times New Roman"/>
          <w:b/>
          <w:i w:val="0"/>
          <w:color w:val="auto"/>
          <w:sz w:val="22"/>
        </w:rPr>
        <w:t xml:space="preserve">API : </w:t>
      </w:r>
      <w:r>
        <w:rPr>
          <w:rFonts w:ascii="Times New Roman" w:hAnsi="Times New Roman"/>
          <w:b w:val="0"/>
          <w:i w:val="0"/>
          <w:color w:val="auto"/>
          <w:sz w:val="22"/>
        </w:rPr>
        <w:t>Application Programming Interface</w:t>
      </w:r>
    </w:p>
    <w:p w14:paraId="229C812E">
      <w:pPr>
        <w:rPr>
          <w:color w:val="auto"/>
        </w:rPr>
      </w:pPr>
      <w:r>
        <w:rPr>
          <w:rFonts w:ascii="Times New Roman" w:hAnsi="Times New Roman"/>
          <w:b/>
          <w:i w:val="0"/>
          <w:color w:val="auto"/>
          <w:sz w:val="22"/>
        </w:rPr>
        <w:t xml:space="preserve">REST : </w:t>
      </w:r>
      <w:r>
        <w:rPr>
          <w:rFonts w:ascii="Times New Roman" w:hAnsi="Times New Roman"/>
          <w:b w:val="0"/>
          <w:i w:val="0"/>
          <w:color w:val="auto"/>
          <w:sz w:val="22"/>
        </w:rPr>
        <w:t>Representational State Transfer</w:t>
      </w:r>
    </w:p>
    <w:p w14:paraId="16039E59">
      <w:pPr>
        <w:rPr>
          <w:color w:val="auto"/>
        </w:rPr>
      </w:pPr>
      <w:r>
        <w:rPr>
          <w:rFonts w:ascii="Times New Roman" w:hAnsi="Times New Roman"/>
          <w:b/>
          <w:i w:val="0"/>
          <w:color w:val="auto"/>
          <w:sz w:val="22"/>
        </w:rPr>
        <w:t xml:space="preserve">RBAC : </w:t>
      </w:r>
      <w:r>
        <w:rPr>
          <w:rFonts w:ascii="Times New Roman" w:hAnsi="Times New Roman"/>
          <w:b w:val="0"/>
          <w:i w:val="0"/>
          <w:color w:val="auto"/>
          <w:sz w:val="22"/>
        </w:rPr>
        <w:t>Role-Based Access Control – Contrôle d'accès par rôles</w:t>
      </w:r>
    </w:p>
    <w:p w14:paraId="171B0094">
      <w:pPr>
        <w:rPr>
          <w:color w:val="auto"/>
        </w:rPr>
      </w:pPr>
      <w:r>
        <w:rPr>
          <w:rFonts w:ascii="Times New Roman" w:hAnsi="Times New Roman"/>
          <w:b/>
          <w:i w:val="0"/>
          <w:color w:val="auto"/>
          <w:sz w:val="22"/>
        </w:rPr>
        <w:t xml:space="preserve">SaaS : </w:t>
      </w:r>
      <w:r>
        <w:rPr>
          <w:rFonts w:ascii="Times New Roman" w:hAnsi="Times New Roman"/>
          <w:b w:val="0"/>
          <w:i w:val="0"/>
          <w:color w:val="auto"/>
          <w:sz w:val="22"/>
        </w:rPr>
        <w:t>Software as a Service</w:t>
      </w:r>
    </w:p>
    <w:p w14:paraId="118EAC2F">
      <w:pPr>
        <w:rPr>
          <w:color w:val="auto"/>
        </w:rPr>
      </w:pPr>
      <w:r>
        <w:rPr>
          <w:rFonts w:ascii="Times New Roman" w:hAnsi="Times New Roman"/>
          <w:b/>
          <w:i w:val="0"/>
          <w:color w:val="auto"/>
          <w:sz w:val="22"/>
        </w:rPr>
        <w:t xml:space="preserve">ORM : </w:t>
      </w:r>
      <w:r>
        <w:rPr>
          <w:rFonts w:ascii="Times New Roman" w:hAnsi="Times New Roman"/>
          <w:b w:val="0"/>
          <w:i w:val="0"/>
          <w:color w:val="auto"/>
          <w:sz w:val="22"/>
        </w:rPr>
        <w:t>Object-Relational Mapper</w:t>
      </w:r>
    </w:p>
    <w:p w14:paraId="22AE9157">
      <w:pPr>
        <w:rPr>
          <w:color w:val="auto"/>
        </w:rPr>
      </w:pPr>
      <w:r>
        <w:rPr>
          <w:rFonts w:ascii="Times New Roman" w:hAnsi="Times New Roman"/>
          <w:b/>
          <w:i w:val="0"/>
          <w:color w:val="auto"/>
          <w:sz w:val="22"/>
        </w:rPr>
        <w:t xml:space="preserve">ROME : </w:t>
      </w:r>
      <w:r>
        <w:rPr>
          <w:rFonts w:ascii="Times New Roman" w:hAnsi="Times New Roman"/>
          <w:b w:val="0"/>
          <w:i w:val="0"/>
          <w:color w:val="auto"/>
          <w:sz w:val="22"/>
        </w:rPr>
        <w:t>Répertoire Opérationnel des Métiers et des Emplois (France Travail)</w:t>
      </w:r>
    </w:p>
    <w:p w14:paraId="34882A54">
      <w:pPr>
        <w:rPr>
          <w:color w:val="auto"/>
        </w:rPr>
      </w:pPr>
      <w:r>
        <w:rPr>
          <w:rFonts w:ascii="Times New Roman" w:hAnsi="Times New Roman"/>
          <w:b/>
          <w:i w:val="0"/>
          <w:color w:val="auto"/>
          <w:sz w:val="22"/>
        </w:rPr>
        <w:t xml:space="preserve">UML : </w:t>
      </w:r>
      <w:r>
        <w:rPr>
          <w:rFonts w:ascii="Times New Roman" w:hAnsi="Times New Roman"/>
          <w:b w:val="0"/>
          <w:i w:val="0"/>
          <w:color w:val="auto"/>
          <w:sz w:val="22"/>
        </w:rPr>
        <w:t>Unified Modeling Language</w:t>
      </w:r>
    </w:p>
    <w:p w14:paraId="3E5BF904">
      <w:pPr>
        <w:rPr>
          <w:color w:val="auto"/>
        </w:rPr>
      </w:pPr>
      <w:r>
        <w:rPr>
          <w:rFonts w:ascii="Times New Roman" w:hAnsi="Times New Roman"/>
          <w:b/>
          <w:i w:val="0"/>
          <w:color w:val="auto"/>
          <w:sz w:val="22"/>
        </w:rPr>
        <w:t xml:space="preserve">MCD : </w:t>
      </w:r>
      <w:r>
        <w:rPr>
          <w:rFonts w:ascii="Times New Roman" w:hAnsi="Times New Roman"/>
          <w:b w:val="0"/>
          <w:i w:val="0"/>
          <w:color w:val="auto"/>
          <w:sz w:val="22"/>
        </w:rPr>
        <w:t>Modèle Conceptuel de Données</w:t>
      </w:r>
    </w:p>
    <w:p w14:paraId="02112D94">
      <w:pPr>
        <w:rPr>
          <w:color w:val="auto"/>
        </w:rPr>
      </w:pPr>
      <w:r>
        <w:rPr>
          <w:rFonts w:ascii="Times New Roman" w:hAnsi="Times New Roman"/>
          <w:b/>
          <w:i w:val="0"/>
          <w:color w:val="auto"/>
          <w:sz w:val="22"/>
        </w:rPr>
        <w:t xml:space="preserve">CI/CD : </w:t>
      </w:r>
      <w:r>
        <w:rPr>
          <w:rFonts w:ascii="Times New Roman" w:hAnsi="Times New Roman"/>
          <w:b w:val="0"/>
          <w:i w:val="0"/>
          <w:color w:val="auto"/>
          <w:sz w:val="22"/>
        </w:rPr>
        <w:t>Intégration Continue / Déploiement Continu</w:t>
      </w:r>
    </w:p>
    <w:p w14:paraId="67DE6F4A">
      <w:pPr>
        <w:rPr>
          <w:color w:val="auto"/>
        </w:rPr>
      </w:pPr>
      <w:r>
        <w:rPr>
          <w:rFonts w:ascii="Times New Roman" w:hAnsi="Times New Roman"/>
          <w:b/>
          <w:i w:val="0"/>
          <w:color w:val="auto"/>
          <w:sz w:val="22"/>
        </w:rPr>
        <w:t xml:space="preserve">IA : </w:t>
      </w:r>
      <w:r>
        <w:rPr>
          <w:rFonts w:ascii="Times New Roman" w:hAnsi="Times New Roman"/>
          <w:b w:val="0"/>
          <w:i w:val="0"/>
          <w:color w:val="auto"/>
          <w:sz w:val="22"/>
        </w:rPr>
        <w:t>Intelligence Artificielle</w:t>
      </w:r>
    </w:p>
    <w:p w14:paraId="31C12B07">
      <w:pPr>
        <w:rPr>
          <w:color w:val="auto"/>
        </w:rPr>
      </w:pPr>
      <w:r>
        <w:rPr>
          <w:rFonts w:ascii="Times New Roman" w:hAnsi="Times New Roman"/>
          <w:b/>
          <w:i w:val="0"/>
          <w:color w:val="auto"/>
          <w:sz w:val="22"/>
        </w:rPr>
        <w:t xml:space="preserve">PFE : </w:t>
      </w:r>
      <w:r>
        <w:rPr>
          <w:rFonts w:ascii="Times New Roman" w:hAnsi="Times New Roman"/>
          <w:b w:val="0"/>
          <w:i w:val="0"/>
          <w:color w:val="auto"/>
          <w:sz w:val="22"/>
        </w:rPr>
        <w:t>Projet de Fin d'Études</w:t>
      </w:r>
    </w:p>
    <w:p w14:paraId="02F44D4B">
      <w:pPr>
        <w:rPr>
          <w:color w:val="auto"/>
        </w:rPr>
      </w:pPr>
      <w:r>
        <w:rPr>
          <w:color w:val="auto"/>
        </w:rPr>
        <w:br w:type="page"/>
      </w:r>
    </w:p>
    <w:p w14:paraId="22886CE6">
      <w:pPr>
        <w:pStyle w:val="2"/>
        <w:jc w:val="left"/>
        <w:rPr>
          <w:color w:val="auto"/>
        </w:rPr>
      </w:pPr>
      <w:r>
        <w:rPr>
          <w:rFonts w:ascii="Times New Roman" w:hAnsi="Times New Roman"/>
          <w:color w:val="auto"/>
          <w:sz w:val="32"/>
        </w:rPr>
        <w:t>Introduction générale</w:t>
      </w:r>
    </w:p>
    <w:p w14:paraId="1B2CAE3C">
      <w:pPr>
        <w:pStyle w:val="3"/>
        <w:jc w:val="left"/>
        <w:rPr>
          <w:color w:val="auto"/>
        </w:rPr>
      </w:pPr>
      <w:r>
        <w:rPr>
          <w:rFonts w:ascii="Times New Roman" w:hAnsi="Times New Roman"/>
          <w:color w:val="auto"/>
          <w:sz w:val="28"/>
        </w:rPr>
        <w:t>Contexte et enjeux</w:t>
      </w:r>
    </w:p>
    <w:p w14:paraId="0224859C">
      <w:pPr>
        <w:spacing w:after="120"/>
        <w:ind w:firstLine="567"/>
        <w:jc w:val="both"/>
        <w:rPr>
          <w:color w:val="auto"/>
        </w:rPr>
      </w:pPr>
      <w:r>
        <w:rPr>
          <w:rFonts w:ascii="Times New Roman" w:hAnsi="Times New Roman"/>
          <w:b w:val="0"/>
          <w:i w:val="0"/>
          <w:color w:val="auto"/>
          <w:sz w:val="24"/>
        </w:rPr>
        <w:t>La transformation digitale constitue aujourd'hui l'un des défis les plus structurants pour les grandes organisations publiques. Dans le secteur ferroviaire marocain, l'ONCF fait face à une double exigence : maintenir un niveau d'excellence opérationnelle en s'appuyant sur des compétences métiers hautement spécialisées, tout en modernisant ses pratiques de gestion des ressources humaines pour attirer, fidéliser et développer les talents dont sa transformation a besoin.</w:t>
      </w:r>
    </w:p>
    <w:p w14:paraId="27114B1B">
      <w:pPr>
        <w:spacing w:after="120"/>
        <w:ind w:firstLine="567"/>
        <w:jc w:val="both"/>
        <w:rPr>
          <w:color w:val="auto"/>
        </w:rPr>
      </w:pPr>
      <w:r>
        <w:rPr>
          <w:rFonts w:ascii="Times New Roman" w:hAnsi="Times New Roman"/>
          <w:b w:val="0"/>
          <w:i w:val="0"/>
          <w:color w:val="auto"/>
          <w:sz w:val="24"/>
        </w:rPr>
        <w:t>C'est dans ce contexte que l'Institut de Formation et de Développement des Compétences (IFDC), bras pédagogique et stratégique de l'ONCF en matière de capital humain, a identifié la nécessité de disposer d'un outil numérique intégré capable de couvrir l'ensemble du cycle de vie du talent : de l'identification des besoins en compétences à l'intégration du collaborateur, en passant par le recrutement, l'évaluation et la formation. Les solutions disponibles sur le marché, souvent trop généralistes ou trop fragmentées, ne répondent pas pleinement aux spécificités organisationnelles et métiers d'un groupe comme l'ONCF.</w:t>
      </w:r>
    </w:p>
    <w:p w14:paraId="02D6CE2A">
      <w:pPr>
        <w:spacing w:after="120"/>
        <w:ind w:firstLine="567"/>
        <w:jc w:val="both"/>
        <w:rPr>
          <w:color w:val="auto"/>
        </w:rPr>
      </w:pPr>
      <w:r>
        <w:rPr>
          <w:rFonts w:ascii="Times New Roman" w:hAnsi="Times New Roman"/>
          <w:b w:val="0"/>
          <w:i w:val="0"/>
          <w:color w:val="auto"/>
          <w:sz w:val="24"/>
        </w:rPr>
        <w:t>Ce projet de fin d'études s'inscrit directement dans cette dynamique en proposant la conception et le développement de RecruitPRO, une plateforme SaaS sur mesure qui couvre trois dimensions complémentaires : le recrutement externe, la mobilité interne et la gestion de la formation. L'originalité de la solution réside dans l'intégration native de ces trois dimensions au sein d'un même écosystème numérique, garantissant la continuité des données du candidat à l'employé, et de l'employé au apprenant.</w:t>
      </w:r>
    </w:p>
    <w:p w14:paraId="13180E60">
      <w:pPr>
        <w:pStyle w:val="3"/>
        <w:jc w:val="left"/>
        <w:rPr>
          <w:color w:val="auto"/>
        </w:rPr>
      </w:pPr>
      <w:r>
        <w:rPr>
          <w:rFonts w:ascii="Times New Roman" w:hAnsi="Times New Roman"/>
          <w:color w:val="auto"/>
          <w:sz w:val="28"/>
        </w:rPr>
        <w:t>Problématique</w:t>
      </w:r>
    </w:p>
    <w:p w14:paraId="0F1C40E9">
      <w:pPr>
        <w:spacing w:after="120"/>
        <w:ind w:firstLine="567"/>
        <w:jc w:val="both"/>
        <w:rPr>
          <w:color w:val="auto"/>
        </w:rPr>
      </w:pPr>
      <w:r>
        <w:rPr>
          <w:rFonts w:ascii="Times New Roman" w:hAnsi="Times New Roman"/>
          <w:b w:val="0"/>
          <w:i w:val="0"/>
          <w:color w:val="auto"/>
          <w:sz w:val="24"/>
        </w:rPr>
        <w:t>La gestion des compétences dans une organisation de la taille et de la complexité de l'ONCF soulève plusieurs questions fondamentales auxquelles ce projet cherche à apporter des réponses concrètes :</w:t>
      </w:r>
    </w:p>
    <w:p w14:paraId="61018C5C">
      <w:pPr>
        <w:pStyle w:val="34"/>
        <w:ind w:left="567"/>
        <w:rPr>
          <w:color w:val="auto"/>
        </w:rPr>
      </w:pPr>
      <w:r>
        <w:rPr>
          <w:rFonts w:ascii="Times New Roman" w:hAnsi="Times New Roman"/>
          <w:b w:val="0"/>
          <w:i w:val="0"/>
          <w:color w:val="auto"/>
          <w:sz w:val="24"/>
        </w:rPr>
        <w:t>Comment identifier rapidement, parmi un vivier de candidats, ceux dont le profil de compétences correspond le mieux aux exigences d'un poste, en tenant compte non seulement des compétences actuelles mais aussi du potentiel d'évolution ?</w:t>
      </w:r>
    </w:p>
    <w:p w14:paraId="7C185B54">
      <w:pPr>
        <w:pStyle w:val="34"/>
        <w:ind w:left="567"/>
        <w:rPr>
          <w:color w:val="auto"/>
        </w:rPr>
      </w:pPr>
      <w:r>
        <w:rPr>
          <w:rFonts w:ascii="Times New Roman" w:hAnsi="Times New Roman"/>
          <w:b w:val="0"/>
          <w:i w:val="0"/>
          <w:color w:val="auto"/>
          <w:sz w:val="24"/>
        </w:rPr>
        <w:t>Comment assurer la continuité du profil d'un individu lorsqu'il passe du statut de candidat à celui d'employé, évitant ainsi la re-saisie d'informations et la perte de l'historique de compétences ?</w:t>
      </w:r>
    </w:p>
    <w:p w14:paraId="55B08CA4">
      <w:pPr>
        <w:pStyle w:val="34"/>
        <w:ind w:left="567"/>
        <w:rPr>
          <w:color w:val="auto"/>
        </w:rPr>
      </w:pPr>
      <w:r>
        <w:rPr>
          <w:rFonts w:ascii="Times New Roman" w:hAnsi="Times New Roman"/>
          <w:b w:val="0"/>
          <w:i w:val="0"/>
          <w:color w:val="auto"/>
          <w:sz w:val="24"/>
        </w:rPr>
        <w:t>Comment piloter de manière cohérente la mobilité interne et les parcours de formation, en les connectant aux besoins réels identifiés lors du recrutement et aux écarts de compétences détectés en cours de carrière ?</w:t>
      </w:r>
    </w:p>
    <w:p w14:paraId="673FECA2">
      <w:pPr>
        <w:pStyle w:val="34"/>
        <w:ind w:left="567"/>
        <w:rPr>
          <w:color w:val="auto"/>
        </w:rPr>
      </w:pPr>
      <w:r>
        <w:rPr>
          <w:rFonts w:ascii="Times New Roman" w:hAnsi="Times New Roman"/>
          <w:b w:val="0"/>
          <w:i w:val="0"/>
          <w:color w:val="auto"/>
          <w:sz w:val="24"/>
        </w:rPr>
        <w:t>Comment concevoir une architecture technique qui garantisse l'isolation des données entre entités tout en permettant une expérience utilisateur unifiée grâce à une authentification unique ?</w:t>
      </w:r>
    </w:p>
    <w:p w14:paraId="0B324CD0">
      <w:pPr>
        <w:spacing w:after="120"/>
        <w:ind w:firstLine="567"/>
        <w:jc w:val="both"/>
        <w:rPr>
          <w:color w:val="auto"/>
        </w:rPr>
      </w:pPr>
      <w:r>
        <w:rPr>
          <w:rFonts w:ascii="Times New Roman" w:hAnsi="Times New Roman"/>
          <w:b w:val="0"/>
          <w:i w:val="0"/>
          <w:color w:val="auto"/>
          <w:sz w:val="24"/>
        </w:rPr>
        <w:t>Ces questions constituent le fil directeur de ce mémoire et ont guidé l'ensemble des choix de conception et d'implémentation.</w:t>
      </w:r>
    </w:p>
    <w:p w14:paraId="229D8112">
      <w:pPr>
        <w:pStyle w:val="3"/>
        <w:jc w:val="left"/>
        <w:rPr>
          <w:color w:val="auto"/>
        </w:rPr>
      </w:pPr>
      <w:r>
        <w:rPr>
          <w:rFonts w:ascii="Times New Roman" w:hAnsi="Times New Roman"/>
          <w:color w:val="auto"/>
          <w:sz w:val="28"/>
        </w:rPr>
        <w:t>Objectifs du projet</w:t>
      </w:r>
    </w:p>
    <w:p w14:paraId="01DBBC28">
      <w:pPr>
        <w:spacing w:after="120"/>
        <w:ind w:firstLine="567"/>
        <w:jc w:val="both"/>
        <w:rPr>
          <w:color w:val="auto"/>
        </w:rPr>
      </w:pPr>
      <w:r>
        <w:rPr>
          <w:rFonts w:ascii="Times New Roman" w:hAnsi="Times New Roman"/>
          <w:b w:val="0"/>
          <w:i w:val="0"/>
          <w:color w:val="auto"/>
          <w:sz w:val="24"/>
        </w:rPr>
        <w:t>Ce travail poursuit les objectifs suivants :</w:t>
      </w:r>
    </w:p>
    <w:p w14:paraId="3751A553">
      <w:pPr>
        <w:pStyle w:val="34"/>
        <w:ind w:left="567"/>
        <w:rPr>
          <w:color w:val="auto"/>
        </w:rPr>
      </w:pPr>
      <w:r>
        <w:rPr>
          <w:rFonts w:ascii="Times New Roman" w:hAnsi="Times New Roman"/>
          <w:b w:val="0"/>
          <w:i w:val="0"/>
          <w:color w:val="auto"/>
          <w:sz w:val="24"/>
        </w:rPr>
        <w:t>Concevoir une plateforme modulaire et évolutive répondant aux besoins RH et pédagogiques de l'IFDC/ONCF, en couvrant le recrutement, la mobilité interne et la formation.</w:t>
      </w:r>
    </w:p>
    <w:p w14:paraId="204E84FF">
      <w:pPr>
        <w:pStyle w:val="34"/>
        <w:ind w:left="567"/>
        <w:rPr>
          <w:color w:val="auto"/>
        </w:rPr>
      </w:pPr>
      <w:r>
        <w:rPr>
          <w:rFonts w:ascii="Times New Roman" w:hAnsi="Times New Roman"/>
          <w:b w:val="0"/>
          <w:i w:val="0"/>
          <w:color w:val="auto"/>
          <w:sz w:val="24"/>
        </w:rPr>
        <w:t>Développer un moteur de matching algorithmique multicritère permettant d'évaluer l'adéquation entre un profil de candidat et les exigences d'un poste, en intégrant une composante de potentiel d'évolution.</w:t>
      </w:r>
    </w:p>
    <w:p w14:paraId="263278CB">
      <w:pPr>
        <w:pStyle w:val="34"/>
        <w:ind w:left="567"/>
        <w:rPr>
          <w:color w:val="auto"/>
        </w:rPr>
      </w:pPr>
      <w:r>
        <w:rPr>
          <w:rFonts w:ascii="Times New Roman" w:hAnsi="Times New Roman"/>
          <w:b w:val="0"/>
          <w:i w:val="0"/>
          <w:color w:val="auto"/>
          <w:sz w:val="24"/>
        </w:rPr>
        <w:t>Implémenter une architecture d'authentification unique (SSO) permettant à un utilisateur d'accéder aux trois modules de la plateforme avec un seul jeu d'identifiants.</w:t>
      </w:r>
    </w:p>
    <w:p w14:paraId="080AA91F">
      <w:pPr>
        <w:pStyle w:val="34"/>
        <w:ind w:left="567"/>
        <w:rPr>
          <w:color w:val="auto"/>
        </w:rPr>
      </w:pPr>
      <w:r>
        <w:rPr>
          <w:rFonts w:ascii="Times New Roman" w:hAnsi="Times New Roman"/>
          <w:b w:val="0"/>
          <w:i w:val="0"/>
          <w:color w:val="auto"/>
          <w:sz w:val="24"/>
        </w:rPr>
        <w:t>Assurer la portabilité du profil : les compétences, formations et expériences renseignées par un candidat lors de sa candidature sont automatiquement transférées vers son profil d'employé lors de son recrutement.</w:t>
      </w:r>
    </w:p>
    <w:p w14:paraId="11A43903">
      <w:pPr>
        <w:pStyle w:val="34"/>
        <w:ind w:left="567"/>
        <w:rPr>
          <w:color w:val="auto"/>
        </w:rPr>
      </w:pPr>
      <w:r>
        <w:rPr>
          <w:rFonts w:ascii="Times New Roman" w:hAnsi="Times New Roman"/>
          <w:b w:val="0"/>
          <w:i w:val="0"/>
          <w:color w:val="auto"/>
          <w:sz w:val="24"/>
        </w:rPr>
        <w:t>Valider la solution par des tests fonctionnels et techniques, et proposer une feuille de route pour son déploiement et son enrichissement futur.</w:t>
      </w:r>
    </w:p>
    <w:p w14:paraId="23577D0A">
      <w:pPr>
        <w:pStyle w:val="3"/>
        <w:jc w:val="left"/>
        <w:rPr>
          <w:color w:val="auto"/>
        </w:rPr>
      </w:pPr>
      <w:r>
        <w:rPr>
          <w:rFonts w:ascii="Times New Roman" w:hAnsi="Times New Roman"/>
          <w:color w:val="auto"/>
          <w:sz w:val="28"/>
        </w:rPr>
        <w:t>Structure du mémoire</w:t>
      </w:r>
    </w:p>
    <w:p w14:paraId="071ED269">
      <w:pPr>
        <w:spacing w:after="120"/>
        <w:ind w:firstLine="567"/>
        <w:jc w:val="both"/>
        <w:rPr>
          <w:color w:val="auto"/>
        </w:rPr>
      </w:pPr>
      <w:r>
        <w:rPr>
          <w:rFonts w:ascii="Times New Roman" w:hAnsi="Times New Roman"/>
          <w:b w:val="0"/>
          <w:i w:val="0"/>
          <w:color w:val="auto"/>
          <w:sz w:val="24"/>
        </w:rPr>
        <w:t>Ce mémoire est structuré en six chapitres dont voici la progression logique :</w:t>
      </w:r>
    </w:p>
    <w:p w14:paraId="7477C063">
      <w:pPr>
        <w:pStyle w:val="34"/>
        <w:ind w:left="567"/>
        <w:rPr>
          <w:color w:val="auto"/>
        </w:rPr>
      </w:pPr>
      <w:r>
        <w:rPr>
          <w:rFonts w:ascii="Times New Roman" w:hAnsi="Times New Roman"/>
          <w:b w:val="0"/>
          <w:i w:val="0"/>
          <w:color w:val="auto"/>
          <w:sz w:val="24"/>
        </w:rPr>
        <w:t>Le Chapitre 1 présente le contexte général du projet : l'organisme d'accueil (ONCF et IFDC), les enjeux stratégiques de la gestion des compétences dans le secteur ferroviaire, et la motivation du projet.</w:t>
      </w:r>
    </w:p>
    <w:p w14:paraId="591B8FF3">
      <w:pPr>
        <w:pStyle w:val="34"/>
        <w:ind w:left="567"/>
        <w:rPr>
          <w:color w:val="auto"/>
        </w:rPr>
      </w:pPr>
      <w:r>
        <w:rPr>
          <w:rFonts w:ascii="Times New Roman" w:hAnsi="Times New Roman"/>
          <w:b w:val="0"/>
          <w:i w:val="0"/>
          <w:color w:val="auto"/>
          <w:sz w:val="24"/>
        </w:rPr>
        <w:t>Le Chapitre 2 dresse l'état de l'art : les concepts théoriques de la GPEC, les systèmes ATS et LMS existants, les approches de matching par compétences, et une étude comparative des solutions du marché.</w:t>
      </w:r>
    </w:p>
    <w:p w14:paraId="69F7CDD9">
      <w:pPr>
        <w:pStyle w:val="34"/>
        <w:ind w:left="567"/>
        <w:rPr>
          <w:color w:val="auto"/>
        </w:rPr>
      </w:pPr>
      <w:r>
        <w:rPr>
          <w:rFonts w:ascii="Times New Roman" w:hAnsi="Times New Roman"/>
          <w:b w:val="0"/>
          <w:i w:val="0"/>
          <w:color w:val="auto"/>
          <w:sz w:val="24"/>
        </w:rPr>
        <w:t>Le Chapitre 3 détaille l'analyse et la spécification des besoins : acteurs, cas d'utilisation, besoins fonctionnels et non fonctionnels.</w:t>
      </w:r>
    </w:p>
    <w:p w14:paraId="29EE984D">
      <w:pPr>
        <w:pStyle w:val="34"/>
        <w:ind w:left="567"/>
        <w:rPr>
          <w:color w:val="auto"/>
        </w:rPr>
      </w:pPr>
      <w:r>
        <w:rPr>
          <w:rFonts w:ascii="Times New Roman" w:hAnsi="Times New Roman"/>
          <w:b w:val="0"/>
          <w:i w:val="0"/>
          <w:color w:val="auto"/>
          <w:sz w:val="24"/>
        </w:rPr>
        <w:t>Le Chapitre 4 expose les choix de conception : architecture globale, modèle de données, authentification SSO, conception du moteur de matching et des interfaces.</w:t>
      </w:r>
    </w:p>
    <w:p w14:paraId="45B99C50">
      <w:pPr>
        <w:pStyle w:val="34"/>
        <w:ind w:left="567"/>
        <w:rPr>
          <w:color w:val="auto"/>
        </w:rPr>
      </w:pPr>
      <w:r>
        <w:rPr>
          <w:rFonts w:ascii="Times New Roman" w:hAnsi="Times New Roman"/>
          <w:b w:val="0"/>
          <w:i w:val="0"/>
          <w:color w:val="auto"/>
          <w:sz w:val="24"/>
        </w:rPr>
        <w:t>Le Chapitre 5 présente la réalisation : les modules développés, les choix d'implémentation, et les principales interfaces de la plateforme.</w:t>
      </w:r>
    </w:p>
    <w:p w14:paraId="005E53C7">
      <w:pPr>
        <w:pStyle w:val="34"/>
        <w:ind w:left="567"/>
        <w:rPr>
          <w:color w:val="auto"/>
        </w:rPr>
      </w:pPr>
      <w:r>
        <w:rPr>
          <w:rFonts w:ascii="Times New Roman" w:hAnsi="Times New Roman"/>
          <w:b w:val="0"/>
          <w:i w:val="0"/>
          <w:color w:val="auto"/>
          <w:sz w:val="24"/>
        </w:rPr>
        <w:t>Le Chapitre 6 couvre les tests, la sécurité et le déploiement.</w:t>
      </w:r>
    </w:p>
    <w:p w14:paraId="0E515FCB">
      <w:pPr>
        <w:spacing w:after="120"/>
        <w:ind w:firstLine="567"/>
        <w:jc w:val="both"/>
        <w:rPr>
          <w:color w:val="auto"/>
        </w:rPr>
      </w:pPr>
      <w:r>
        <w:rPr>
          <w:rFonts w:ascii="Times New Roman" w:hAnsi="Times New Roman"/>
          <w:b w:val="0"/>
          <w:i w:val="0"/>
          <w:color w:val="auto"/>
          <w:sz w:val="24"/>
        </w:rPr>
        <w:t>Une conclusion générale clôture le mémoire en rappelant les apports du projet et en ouvrant des perspectives d'amélioration et d'extension.</w:t>
      </w:r>
    </w:p>
    <w:p w14:paraId="5DE67717">
      <w:pPr>
        <w:rPr>
          <w:color w:val="auto"/>
        </w:rPr>
      </w:pPr>
      <w:r>
        <w:rPr>
          <w:color w:val="auto"/>
        </w:rPr>
        <w:br w:type="page"/>
      </w:r>
    </w:p>
    <w:p w14:paraId="5B528196">
      <w:pPr>
        <w:pStyle w:val="2"/>
        <w:jc w:val="left"/>
        <w:rPr>
          <w:color w:val="auto"/>
        </w:rPr>
      </w:pPr>
      <w:r>
        <w:rPr>
          <w:rFonts w:ascii="Times New Roman" w:hAnsi="Times New Roman"/>
          <w:color w:val="auto"/>
          <w:sz w:val="32"/>
        </w:rPr>
        <w:t>Chapitre 1 : Contexte général et cadre du projet</w:t>
      </w:r>
    </w:p>
    <w:p w14:paraId="257BF51B">
      <w:pPr>
        <w:pStyle w:val="3"/>
        <w:jc w:val="left"/>
        <w:rPr>
          <w:color w:val="auto"/>
        </w:rPr>
      </w:pPr>
      <w:r>
        <w:rPr>
          <w:rFonts w:ascii="Times New Roman" w:hAnsi="Times New Roman"/>
          <w:color w:val="auto"/>
          <w:sz w:val="28"/>
        </w:rPr>
        <w:t>1.1 Présentation de l'organisme d'accueil</w:t>
      </w:r>
    </w:p>
    <w:p w14:paraId="38637D24">
      <w:pPr>
        <w:pStyle w:val="4"/>
        <w:rPr>
          <w:color w:val="auto"/>
        </w:rPr>
      </w:pPr>
      <w:r>
        <w:rPr>
          <w:rFonts w:ascii="Times New Roman" w:hAnsi="Times New Roman"/>
          <w:b/>
          <w:color w:val="auto"/>
          <w:sz w:val="24"/>
        </w:rPr>
        <w:t>1.1.1 L'Office National des Chemins de Fer (ONCF)</w:t>
      </w:r>
    </w:p>
    <w:p w14:paraId="426DF395">
      <w:pPr>
        <w:spacing w:after="120"/>
        <w:ind w:firstLine="567"/>
        <w:jc w:val="both"/>
        <w:rPr>
          <w:color w:val="auto"/>
        </w:rPr>
      </w:pPr>
      <w:r>
        <w:rPr>
          <w:rFonts w:ascii="Times New Roman" w:hAnsi="Times New Roman"/>
          <w:b w:val="0"/>
          <w:i w:val="0"/>
          <w:color w:val="auto"/>
          <w:sz w:val="24"/>
        </w:rPr>
        <w:t>L'Office National des Chemins de Fer (ONCF) est un établissement public marocain créé en 1963, placé sous la tutelle du Ministère du Transport et de la Logistique. Il constitue l'opérateur ferroviaire national du Royaume du Maroc et gère un réseau de près de 2 110 km de voies ferrées reliant les principales villes du pays : Tanger, Casablanca, Rabat, Fès, Marrakech et Oujda.</w:t>
      </w:r>
    </w:p>
    <w:p w14:paraId="451A2D8B">
      <w:pPr>
        <w:spacing w:after="120"/>
        <w:ind w:firstLine="567"/>
        <w:jc w:val="both"/>
        <w:rPr>
          <w:color w:val="auto"/>
        </w:rPr>
      </w:pPr>
      <w:r>
        <w:rPr>
          <w:rFonts w:ascii="Times New Roman" w:hAnsi="Times New Roman"/>
          <w:b w:val="0"/>
          <w:i w:val="0"/>
          <w:color w:val="auto"/>
          <w:sz w:val="24"/>
        </w:rPr>
        <w:t>L'ONCF emploie plus de 9 000 collaborateurs répartis sur l'ensemble du territoire national, couvrant des métiers aussi diversifiés que la conduite de trains, la maintenance des infrastructures et du matériel roulant, la gestion commerciale, la sécurité ferroviaire, les systèmes d'information et l'administration générale. Cette diversité des profils métiers constitue à la fois une richesse et un défi pour la gestion des compétences.</w:t>
      </w:r>
    </w:p>
    <w:p w14:paraId="750ADA61">
      <w:pPr>
        <w:spacing w:after="120"/>
        <w:ind w:firstLine="567"/>
        <w:jc w:val="both"/>
        <w:rPr>
          <w:color w:val="auto"/>
        </w:rPr>
      </w:pPr>
      <w:r>
        <w:rPr>
          <w:rFonts w:ascii="Times New Roman" w:hAnsi="Times New Roman"/>
          <w:b w:val="0"/>
          <w:i w:val="0"/>
          <w:color w:val="auto"/>
          <w:sz w:val="24"/>
        </w:rPr>
        <w:t>L'office s'est engagé dans une trajectoire de modernisation ambitieuse matérialisée par son programme stratégique « Cap 2030 », qui prévoit notamment l'extension du réseau à grande vitesse (LGV) initiée avec la ligne Tanger-Casablanca inaugurée en 2018, la densification du réseau régional et l'amélioration significative de l'offre de service. Ces ambitions se traduisent par des besoins en recrutement croissants et une exigence accrue en matière de développement des compétences de ses collaborateurs.</w:t>
      </w:r>
    </w:p>
    <w:p w14:paraId="1DFC4ECC">
      <w:pPr>
        <w:spacing w:after="120"/>
        <w:ind w:firstLine="567"/>
        <w:jc w:val="both"/>
        <w:rPr>
          <w:color w:val="auto"/>
        </w:rPr>
      </w:pPr>
      <w:r>
        <w:rPr>
          <w:rFonts w:ascii="Times New Roman" w:hAnsi="Times New Roman"/>
          <w:b w:val="0"/>
          <w:i w:val="0"/>
          <w:color w:val="auto"/>
          <w:sz w:val="24"/>
        </w:rPr>
        <w:t>[COMPLÉTER : chiffres clés actualisés, organigramme général, direction des ressources humaines]</w:t>
      </w:r>
    </w:p>
    <w:p w14:paraId="0891E10E">
      <w:pPr>
        <w:pStyle w:val="4"/>
        <w:rPr>
          <w:color w:val="auto"/>
        </w:rPr>
      </w:pPr>
      <w:r>
        <w:rPr>
          <w:rFonts w:ascii="Times New Roman" w:hAnsi="Times New Roman"/>
          <w:b/>
          <w:color w:val="auto"/>
          <w:sz w:val="24"/>
        </w:rPr>
        <w:t>1.1.2 L'Institut de Formation et de Développement des Compétences (IFDC)</w:t>
      </w:r>
    </w:p>
    <w:p w14:paraId="0849ABCB">
      <w:pPr>
        <w:spacing w:after="120"/>
        <w:ind w:firstLine="567"/>
        <w:jc w:val="both"/>
        <w:rPr>
          <w:color w:val="auto"/>
        </w:rPr>
      </w:pPr>
      <w:r>
        <w:rPr>
          <w:rFonts w:ascii="Times New Roman" w:hAnsi="Times New Roman"/>
          <w:b w:val="0"/>
          <w:i w:val="0"/>
          <w:color w:val="auto"/>
          <w:sz w:val="24"/>
        </w:rPr>
        <w:t>L'Institut de Formation et de Développement des Compétences (IFDC) est l'entité de l'ONCF dédiée à la formation professionnelle, au développement des compétences et à l'accompagnement de la transformation des métiers du groupe. Implanté à Rabat, l'IFDC est le centre névralgique de la politique de développement du capital humain de l'ONCF.</w:t>
      </w:r>
    </w:p>
    <w:p w14:paraId="669DA088">
      <w:pPr>
        <w:spacing w:after="120"/>
        <w:ind w:firstLine="567"/>
        <w:jc w:val="both"/>
        <w:rPr>
          <w:color w:val="auto"/>
        </w:rPr>
      </w:pPr>
      <w:r>
        <w:rPr>
          <w:rFonts w:ascii="Times New Roman" w:hAnsi="Times New Roman"/>
          <w:b w:val="0"/>
          <w:i w:val="0"/>
          <w:color w:val="auto"/>
          <w:sz w:val="24"/>
        </w:rPr>
        <w:t>L'IFDC assume plusieurs missions stratégiques au sein du groupe :</w:t>
      </w:r>
    </w:p>
    <w:p w14:paraId="4AFB16FA">
      <w:pPr>
        <w:pStyle w:val="34"/>
        <w:ind w:left="567"/>
        <w:rPr>
          <w:color w:val="auto"/>
        </w:rPr>
      </w:pPr>
      <w:r>
        <w:rPr>
          <w:rFonts w:ascii="Times New Roman" w:hAnsi="Times New Roman"/>
          <w:b w:val="0"/>
          <w:i w:val="0"/>
          <w:color w:val="auto"/>
          <w:sz w:val="24"/>
        </w:rPr>
        <w:t>La conception et le déploiement de programmes de formation initiale et continue destinés aux différentes catégories de personnels (agents de conduite, agents de maintenance, cadres, personnel d'encadrement).</w:t>
      </w:r>
    </w:p>
    <w:p w14:paraId="19C966CF">
      <w:pPr>
        <w:pStyle w:val="34"/>
        <w:ind w:left="567"/>
        <w:rPr>
          <w:color w:val="auto"/>
        </w:rPr>
      </w:pPr>
      <w:r>
        <w:rPr>
          <w:rFonts w:ascii="Times New Roman" w:hAnsi="Times New Roman"/>
          <w:b w:val="0"/>
          <w:i w:val="0"/>
          <w:color w:val="auto"/>
          <w:sz w:val="24"/>
        </w:rPr>
        <w:t>L'ingénierie de la formation : analyse des besoins, élaboration des référentiels de compétences, conception pédagogique des modules de formation.</w:t>
      </w:r>
    </w:p>
    <w:p w14:paraId="55C14042">
      <w:pPr>
        <w:pStyle w:val="34"/>
        <w:ind w:left="567"/>
        <w:rPr>
          <w:color w:val="auto"/>
        </w:rPr>
      </w:pPr>
      <w:r>
        <w:rPr>
          <w:rFonts w:ascii="Times New Roman" w:hAnsi="Times New Roman"/>
          <w:b w:val="0"/>
          <w:i w:val="0"/>
          <w:color w:val="auto"/>
          <w:sz w:val="24"/>
        </w:rPr>
        <w:t>L'accompagnement de la mobilité interne : identification des potentiels d'évolution, évaluation des compétences et recommandation de parcours de formation adaptés.</w:t>
      </w:r>
    </w:p>
    <w:p w14:paraId="590437F5">
      <w:pPr>
        <w:pStyle w:val="34"/>
        <w:ind w:left="567"/>
        <w:rPr>
          <w:color w:val="auto"/>
        </w:rPr>
      </w:pPr>
      <w:r>
        <w:rPr>
          <w:rFonts w:ascii="Times New Roman" w:hAnsi="Times New Roman"/>
          <w:b w:val="0"/>
          <w:i w:val="0"/>
          <w:color w:val="auto"/>
          <w:sz w:val="24"/>
        </w:rPr>
        <w:t>La veille sur les évolutions des métiers ferroviaires et l'anticipation des besoins en compétences dans un contexte de transformation technologique (digitalisation, nouvelles énergies de traction, automatisation).</w:t>
      </w:r>
    </w:p>
    <w:p w14:paraId="60E700BF">
      <w:pPr>
        <w:spacing w:after="120"/>
        <w:ind w:firstLine="567"/>
        <w:jc w:val="both"/>
        <w:rPr>
          <w:color w:val="auto"/>
        </w:rPr>
      </w:pPr>
      <w:r>
        <w:rPr>
          <w:rFonts w:ascii="Times New Roman" w:hAnsi="Times New Roman"/>
          <w:b w:val="0"/>
          <w:i w:val="0"/>
          <w:color w:val="auto"/>
          <w:sz w:val="24"/>
        </w:rPr>
        <w:t>L'IFDC dispose d'un corps de formateurs internes expérimentés et fait également appel à des experts externes pour les formations à haute technicité. Il s'appuie sur des infrastructures pédagogiques comprenant des salles de formation, des simulateurs de conduite et des ateliers techniques.</w:t>
      </w:r>
    </w:p>
    <w:p w14:paraId="721419E5">
      <w:pPr>
        <w:spacing w:after="120"/>
        <w:ind w:firstLine="567"/>
        <w:jc w:val="both"/>
        <w:rPr>
          <w:color w:val="auto"/>
        </w:rPr>
      </w:pPr>
      <w:r>
        <w:rPr>
          <w:rFonts w:ascii="Times New Roman" w:hAnsi="Times New Roman"/>
          <w:b w:val="0"/>
          <w:i w:val="0"/>
          <w:color w:val="auto"/>
          <w:sz w:val="24"/>
        </w:rPr>
        <w:t>[COMPLÉTER : effectifs IFDC, organigramme IFDC, missions précises de la direction d'accueil, nom du responsable]</w:t>
      </w:r>
    </w:p>
    <w:p w14:paraId="796FBD3F">
      <w:pPr>
        <w:pStyle w:val="3"/>
        <w:jc w:val="left"/>
        <w:rPr>
          <w:color w:val="auto"/>
        </w:rPr>
      </w:pPr>
      <w:r>
        <w:rPr>
          <w:rFonts w:ascii="Times New Roman" w:hAnsi="Times New Roman"/>
          <w:color w:val="auto"/>
          <w:sz w:val="28"/>
        </w:rPr>
        <w:t>1.2 Contexte stratégique : la gestion des compétences comme enjeu de transformation</w:t>
      </w:r>
    </w:p>
    <w:p w14:paraId="3219FE98">
      <w:pPr>
        <w:pStyle w:val="4"/>
        <w:rPr>
          <w:color w:val="auto"/>
        </w:rPr>
      </w:pPr>
      <w:r>
        <w:rPr>
          <w:rFonts w:ascii="Times New Roman" w:hAnsi="Times New Roman"/>
          <w:b/>
          <w:color w:val="auto"/>
          <w:sz w:val="24"/>
        </w:rPr>
        <w:t>1.2.1 Les défis RH du secteur ferroviaire</w:t>
      </w:r>
    </w:p>
    <w:p w14:paraId="7AC0DD51">
      <w:pPr>
        <w:spacing w:after="120"/>
        <w:ind w:firstLine="567"/>
        <w:jc w:val="both"/>
        <w:rPr>
          <w:color w:val="auto"/>
        </w:rPr>
      </w:pPr>
      <w:r>
        <w:rPr>
          <w:rFonts w:ascii="Times New Roman" w:hAnsi="Times New Roman"/>
          <w:b w:val="0"/>
          <w:i w:val="0"/>
          <w:color w:val="auto"/>
          <w:sz w:val="24"/>
        </w:rPr>
        <w:t>Le secteur ferroviaire est l'un des secteurs d'activité où la gestion des compétences présente le degré de complexité le plus élevé. Plusieurs facteurs expliquent cette complexité :</w:t>
      </w:r>
    </w:p>
    <w:p w14:paraId="43123229">
      <w:pPr>
        <w:spacing w:after="120"/>
        <w:ind w:firstLine="567"/>
        <w:jc w:val="both"/>
        <w:rPr>
          <w:color w:val="auto"/>
        </w:rPr>
      </w:pPr>
      <w:r>
        <w:rPr>
          <w:rFonts w:ascii="Times New Roman" w:hAnsi="Times New Roman"/>
          <w:b w:val="0"/>
          <w:i w:val="0"/>
          <w:color w:val="auto"/>
          <w:sz w:val="24"/>
        </w:rPr>
        <w:t>Premièrement, la spécificité des métiers ferroviaires : la conduite de trains, la signalisation, la maintenance de l'infrastructure de voie, la caténaire et le génie civil ferroviaire sont des métiers fortement règlementés, nécessitant des habilitations, des certifications et des formations continues obligatoires. Un agent de conduite, par exemple, doit maintenir ses habilitations à jour selon des cycles définis par la réglementation ferroviaire nationale et internationale.</w:t>
      </w:r>
    </w:p>
    <w:p w14:paraId="24B60F59">
      <w:pPr>
        <w:spacing w:after="120"/>
        <w:ind w:firstLine="567"/>
        <w:jc w:val="both"/>
        <w:rPr>
          <w:color w:val="auto"/>
        </w:rPr>
      </w:pPr>
      <w:r>
        <w:rPr>
          <w:rFonts w:ascii="Times New Roman" w:hAnsi="Times New Roman"/>
          <w:b w:val="0"/>
          <w:i w:val="0"/>
          <w:color w:val="auto"/>
          <w:sz w:val="24"/>
        </w:rPr>
        <w:t>Deuxièmement, le renouvellement générationnel : comme de nombreuses grandes organisations publiques marocaines, l'ONCF est confronté à une vague de départs à la retraite qui risque d'emporter avec elle des savoirs métiers accumulés sur des décennies. La transmission de ces compétences tacites constitue un enjeu de souveraineté opérationnelle.</w:t>
      </w:r>
    </w:p>
    <w:p w14:paraId="6222574F">
      <w:pPr>
        <w:spacing w:after="120"/>
        <w:ind w:firstLine="567"/>
        <w:jc w:val="both"/>
        <w:rPr>
          <w:color w:val="auto"/>
        </w:rPr>
      </w:pPr>
      <w:r>
        <w:rPr>
          <w:rFonts w:ascii="Times New Roman" w:hAnsi="Times New Roman"/>
          <w:b w:val="0"/>
          <w:i w:val="0"/>
          <w:color w:val="auto"/>
          <w:sz w:val="24"/>
        </w:rPr>
        <w:t>Troisièmement, la transformation technologique : l'introduction de matériels roulants de nouvelle génération, la digitalisation de la maintenance (maintenance prédictive, GMAO), le déploiement de systèmes de signalisation avancés (ETCS/ERTMS) et la numérisation des postes de travail créent des besoins en compétences nouvelles que la formation doit anticiper.</w:t>
      </w:r>
    </w:p>
    <w:p w14:paraId="49CD68F9">
      <w:pPr>
        <w:spacing w:after="120"/>
        <w:ind w:firstLine="567"/>
        <w:jc w:val="both"/>
        <w:rPr>
          <w:color w:val="auto"/>
        </w:rPr>
      </w:pPr>
      <w:r>
        <w:rPr>
          <w:rFonts w:ascii="Times New Roman" w:hAnsi="Times New Roman"/>
          <w:b w:val="0"/>
          <w:i w:val="0"/>
          <w:color w:val="auto"/>
          <w:sz w:val="24"/>
        </w:rPr>
        <w:t>Quatrièmement, la mobilité interne comme levier de fidélisation : dans un marché de l'emploi où les profils techniques qualifiés sont de plus en plus disputés, la capacité à offrir des parcours d'évolution internes attractifs constitue un avantage compétitif pour les grandes organisations publiques.</w:t>
      </w:r>
    </w:p>
    <w:p w14:paraId="764EF556">
      <w:pPr>
        <w:pStyle w:val="4"/>
        <w:rPr>
          <w:color w:val="auto"/>
        </w:rPr>
      </w:pPr>
      <w:r>
        <w:rPr>
          <w:rFonts w:ascii="Times New Roman" w:hAnsi="Times New Roman"/>
          <w:b/>
          <w:color w:val="auto"/>
          <w:sz w:val="24"/>
        </w:rPr>
        <w:t>1.2.2 La GPEC comme réponse stratégique</w:t>
      </w:r>
    </w:p>
    <w:p w14:paraId="00A0DF5E">
      <w:pPr>
        <w:spacing w:after="120"/>
        <w:ind w:firstLine="567"/>
        <w:jc w:val="both"/>
        <w:rPr>
          <w:color w:val="auto"/>
        </w:rPr>
      </w:pPr>
      <w:r>
        <w:rPr>
          <w:rFonts w:ascii="Times New Roman" w:hAnsi="Times New Roman"/>
          <w:b w:val="0"/>
          <w:i w:val="0"/>
          <w:color w:val="auto"/>
          <w:sz w:val="24"/>
        </w:rPr>
        <w:t>La Gestion Prévisionnelle des Emplois et des Compétences (GPEC) est une démarche de management des ressources humaines qui vise à anticiper les évolutions des emplois et des compétences d'une organisation, à moyen et long terme, afin d'adapter les ressources humaines aux besoins futurs. Elle constitue une réponse méthodologique aux défis évoqués précédemment.</w:t>
      </w:r>
    </w:p>
    <w:p w14:paraId="494D2AC7">
      <w:pPr>
        <w:spacing w:after="120"/>
        <w:ind w:firstLine="567"/>
        <w:jc w:val="both"/>
        <w:rPr>
          <w:color w:val="auto"/>
        </w:rPr>
      </w:pPr>
      <w:r>
        <w:rPr>
          <w:rFonts w:ascii="Times New Roman" w:hAnsi="Times New Roman"/>
          <w:b w:val="0"/>
          <w:i w:val="0"/>
          <w:color w:val="auto"/>
          <w:sz w:val="24"/>
        </w:rPr>
        <w:t>Une démarche GPEC efficace repose sur plusieurs piliers :</w:t>
      </w:r>
    </w:p>
    <w:p w14:paraId="60560C22">
      <w:pPr>
        <w:pStyle w:val="34"/>
        <w:ind w:left="567"/>
        <w:rPr>
          <w:color w:val="auto"/>
        </w:rPr>
      </w:pPr>
      <w:r>
        <w:rPr>
          <w:rFonts w:ascii="Times New Roman" w:hAnsi="Times New Roman"/>
          <w:b w:val="0"/>
          <w:i w:val="0"/>
          <w:color w:val="auto"/>
          <w:sz w:val="24"/>
        </w:rPr>
        <w:t>L'élaboration et la mise à jour d'un référentiel des emplois et des compétences décrivant pour chaque poste les compétences requises (techniques, comportementales) et leur niveau d'exigence.</w:t>
      </w:r>
    </w:p>
    <w:p w14:paraId="062AD34B">
      <w:pPr>
        <w:pStyle w:val="34"/>
        <w:ind w:left="567"/>
        <w:rPr>
          <w:color w:val="auto"/>
        </w:rPr>
      </w:pPr>
      <w:r>
        <w:rPr>
          <w:rFonts w:ascii="Times New Roman" w:hAnsi="Times New Roman"/>
          <w:b w:val="0"/>
          <w:i w:val="0"/>
          <w:color w:val="auto"/>
          <w:sz w:val="24"/>
        </w:rPr>
        <w:t>L'évaluation régulière des compétences détenues par les collaborateurs, permettant d'identifier les écarts entre compétences requises et compétences disponibles (skill gap analysis).</w:t>
      </w:r>
    </w:p>
    <w:p w14:paraId="48935F9E">
      <w:pPr>
        <w:pStyle w:val="34"/>
        <w:ind w:left="567"/>
        <w:rPr>
          <w:color w:val="auto"/>
        </w:rPr>
      </w:pPr>
      <w:r>
        <w:rPr>
          <w:rFonts w:ascii="Times New Roman" w:hAnsi="Times New Roman"/>
          <w:b w:val="0"/>
          <w:i w:val="0"/>
          <w:color w:val="auto"/>
          <w:sz w:val="24"/>
        </w:rPr>
        <w:t>La mise en place de plans de formation ciblés pour combler les écarts identifiés.</w:t>
      </w:r>
    </w:p>
    <w:p w14:paraId="4566E014">
      <w:pPr>
        <w:pStyle w:val="34"/>
        <w:ind w:left="567"/>
        <w:rPr>
          <w:color w:val="auto"/>
        </w:rPr>
      </w:pPr>
      <w:r>
        <w:rPr>
          <w:rFonts w:ascii="Times New Roman" w:hAnsi="Times New Roman"/>
          <w:b w:val="0"/>
          <w:i w:val="0"/>
          <w:color w:val="auto"/>
          <w:sz w:val="24"/>
        </w:rPr>
        <w:t>L'organisation de la mobilité interne permettant de redéployer les compétences là où elles sont le plus nécessaires.</w:t>
      </w:r>
    </w:p>
    <w:p w14:paraId="7AD2603E">
      <w:pPr>
        <w:pStyle w:val="34"/>
        <w:ind w:left="567"/>
        <w:rPr>
          <w:color w:val="auto"/>
        </w:rPr>
      </w:pPr>
      <w:r>
        <w:rPr>
          <w:rFonts w:ascii="Times New Roman" w:hAnsi="Times New Roman"/>
          <w:b w:val="0"/>
          <w:i w:val="0"/>
          <w:color w:val="auto"/>
          <w:sz w:val="24"/>
        </w:rPr>
        <w:t>Le recrutement externe pour les compétences absentes du vivier interne.</w:t>
      </w:r>
    </w:p>
    <w:p w14:paraId="625D81CE">
      <w:pPr>
        <w:spacing w:after="120"/>
        <w:ind w:firstLine="567"/>
        <w:jc w:val="both"/>
        <w:rPr>
          <w:color w:val="auto"/>
        </w:rPr>
      </w:pPr>
      <w:r>
        <w:rPr>
          <w:rFonts w:ascii="Times New Roman" w:hAnsi="Times New Roman"/>
          <w:b w:val="0"/>
          <w:i w:val="0"/>
          <w:color w:val="auto"/>
          <w:sz w:val="24"/>
        </w:rPr>
        <w:t>Dans ce cadre, une plateforme numérique intégrée comme RecruitPRO joue un rôle d'instrument de pilotage de la GPEC en offrant une vision unifiée du capital humain : les compétences des candidats, des employés, les besoins des postes ouverts et les formations disponibles sont gérés dans un seul écosystème cohérent.</w:t>
      </w:r>
    </w:p>
    <w:p w14:paraId="4BD29260">
      <w:pPr>
        <w:pStyle w:val="4"/>
        <w:rPr>
          <w:color w:val="auto"/>
        </w:rPr>
      </w:pPr>
      <w:r>
        <w:rPr>
          <w:rFonts w:ascii="Times New Roman" w:hAnsi="Times New Roman"/>
          <w:b/>
          <w:color w:val="auto"/>
          <w:sz w:val="24"/>
        </w:rPr>
        <w:t>1.2.3 La transformation digitale des fonctions RH</w:t>
      </w:r>
    </w:p>
    <w:p w14:paraId="56837D39">
      <w:pPr>
        <w:spacing w:after="120"/>
        <w:ind w:firstLine="567"/>
        <w:jc w:val="both"/>
        <w:rPr>
          <w:color w:val="auto"/>
        </w:rPr>
      </w:pPr>
      <w:r>
        <w:rPr>
          <w:rFonts w:ascii="Times New Roman" w:hAnsi="Times New Roman"/>
          <w:b w:val="0"/>
          <w:i w:val="0"/>
          <w:color w:val="auto"/>
          <w:sz w:val="24"/>
        </w:rPr>
        <w:t>La digitalisation des fonctions RH est une tendance de fond qui touche l'ensemble des organisations, publiques et privées. Selon les études du cabinet Deloitte, plus de 71% des organisations considèrent que la transformation digitale des RH est une priorité stratégique. Les technologies numériques permettent d'automatiser les tâches administratives à faible valeur ajoutée, de libérer du temps pour les activités stratégiques et d'améliorer l'expérience des candidats et des collaborateurs.</w:t>
      </w:r>
    </w:p>
    <w:p w14:paraId="342E9D0B">
      <w:pPr>
        <w:spacing w:after="120"/>
        <w:ind w:firstLine="567"/>
        <w:jc w:val="both"/>
        <w:rPr>
          <w:color w:val="auto"/>
        </w:rPr>
      </w:pPr>
      <w:r>
        <w:rPr>
          <w:rFonts w:ascii="Times New Roman" w:hAnsi="Times New Roman"/>
          <w:b w:val="0"/>
          <w:i w:val="0"/>
          <w:color w:val="auto"/>
          <w:sz w:val="24"/>
        </w:rPr>
        <w:t>Dans le contexte marocain, et en particulier pour les grandes entreprises publiques comme l'ONCF, la transformation digitale des RH constitue également un levier de modernisation de l'image employeur et d'alignement sur les meilleures pratiques internationales. L'ONCF, engagé dans une stratégie de transformation numérique globale, ne pouvait pas laisser ses processus RH en dehors de cette dynamique.</w:t>
      </w:r>
    </w:p>
    <w:p w14:paraId="2A06BE72">
      <w:pPr>
        <w:pStyle w:val="3"/>
        <w:jc w:val="left"/>
        <w:rPr>
          <w:color w:val="auto"/>
        </w:rPr>
      </w:pPr>
      <w:r>
        <w:rPr>
          <w:rFonts w:ascii="Times New Roman" w:hAnsi="Times New Roman"/>
          <w:color w:val="auto"/>
          <w:sz w:val="28"/>
        </w:rPr>
        <w:t>1.3 Genèse et périmètre du projet</w:t>
      </w:r>
    </w:p>
    <w:p w14:paraId="6DDE458E">
      <w:pPr>
        <w:pStyle w:val="4"/>
        <w:rPr>
          <w:color w:val="auto"/>
        </w:rPr>
      </w:pPr>
      <w:r>
        <w:rPr>
          <w:rFonts w:ascii="Times New Roman" w:hAnsi="Times New Roman"/>
          <w:b/>
          <w:color w:val="auto"/>
          <w:sz w:val="24"/>
        </w:rPr>
        <w:t>1.3.1 Diagnostic de l'existant</w:t>
      </w:r>
    </w:p>
    <w:p w14:paraId="0DC0E2C6">
      <w:pPr>
        <w:spacing w:after="120"/>
        <w:ind w:firstLine="567"/>
        <w:jc w:val="both"/>
        <w:rPr>
          <w:color w:val="auto"/>
        </w:rPr>
      </w:pPr>
      <w:r>
        <w:rPr>
          <w:rFonts w:ascii="Times New Roman" w:hAnsi="Times New Roman"/>
          <w:b w:val="0"/>
          <w:i w:val="0"/>
          <w:color w:val="auto"/>
          <w:sz w:val="24"/>
        </w:rPr>
        <w:t>Avant le démarrage de ce projet, la gestion du recrutement et de la formation à l'IFDC/ONCF reposait sur un ensemble d'outils disparates et peu intégrés :</w:t>
      </w:r>
    </w:p>
    <w:p w14:paraId="6E32C781">
      <w:pPr>
        <w:pStyle w:val="34"/>
        <w:ind w:left="567"/>
        <w:rPr>
          <w:color w:val="auto"/>
        </w:rPr>
      </w:pPr>
      <w:r>
        <w:rPr>
          <w:rFonts w:ascii="Times New Roman" w:hAnsi="Times New Roman"/>
          <w:b w:val="0"/>
          <w:i w:val="0"/>
          <w:color w:val="auto"/>
          <w:sz w:val="24"/>
        </w:rPr>
        <w:t>Le recrutement était géré via des tableurs Excel et des formulaires papier, sans outil de suivi centralisé des candidatures ni de scoring automatique.</w:t>
      </w:r>
    </w:p>
    <w:p w14:paraId="6B3C1EC8">
      <w:pPr>
        <w:pStyle w:val="34"/>
        <w:ind w:left="567"/>
        <w:rPr>
          <w:color w:val="auto"/>
        </w:rPr>
      </w:pPr>
      <w:r>
        <w:rPr>
          <w:rFonts w:ascii="Times New Roman" w:hAnsi="Times New Roman"/>
          <w:b w:val="0"/>
          <w:i w:val="0"/>
          <w:color w:val="auto"/>
          <w:sz w:val="24"/>
        </w:rPr>
        <w:t>Les formations étaient planifiées et suivies dans des outils bureautiques, sans traçabilité automatique des compétences acquises lors des formations.</w:t>
      </w:r>
    </w:p>
    <w:p w14:paraId="5B8C236F">
      <w:pPr>
        <w:pStyle w:val="34"/>
        <w:ind w:left="567"/>
        <w:rPr>
          <w:color w:val="auto"/>
        </w:rPr>
      </w:pPr>
      <w:r>
        <w:rPr>
          <w:rFonts w:ascii="Times New Roman" w:hAnsi="Times New Roman"/>
          <w:b w:val="0"/>
          <w:i w:val="0"/>
          <w:color w:val="auto"/>
          <w:sz w:val="24"/>
        </w:rPr>
        <w:t>La mobilité interne reposait sur des processus manuels et des appels à candidature diffusés par voie d'affichage ou d'e-mail, sans outil de matching entre profils et postes ouverts.</w:t>
      </w:r>
    </w:p>
    <w:p w14:paraId="69BB8A67">
      <w:pPr>
        <w:pStyle w:val="34"/>
        <w:ind w:left="567"/>
        <w:rPr>
          <w:color w:val="auto"/>
        </w:rPr>
      </w:pPr>
      <w:r>
        <w:rPr>
          <w:rFonts w:ascii="Times New Roman" w:hAnsi="Times New Roman"/>
          <w:b w:val="0"/>
          <w:i w:val="0"/>
          <w:color w:val="auto"/>
          <w:sz w:val="24"/>
        </w:rPr>
        <w:t>Les données candidats et les données employés étaient gérées dans des systèmes distincts, entraînant des ruptures d'information lors du passage du statut de candidat à celui d'employé.</w:t>
      </w:r>
    </w:p>
    <w:p w14:paraId="35896478">
      <w:pPr>
        <w:spacing w:after="120"/>
        <w:ind w:firstLine="567"/>
        <w:jc w:val="both"/>
        <w:rPr>
          <w:color w:val="auto"/>
        </w:rPr>
      </w:pPr>
      <w:r>
        <w:rPr>
          <w:rFonts w:ascii="Times New Roman" w:hAnsi="Times New Roman"/>
          <w:b w:val="0"/>
          <w:i w:val="0"/>
          <w:color w:val="auto"/>
          <w:sz w:val="24"/>
        </w:rPr>
        <w:t>Ces lacunes se traduisaient par des délais de recrutement allongés, une sous-exploitation du vivier interne de compétences et une difficulté à piloter de manière cohérente les plans de développement des compétences.</w:t>
      </w:r>
    </w:p>
    <w:p w14:paraId="10774B39">
      <w:pPr>
        <w:pStyle w:val="4"/>
        <w:rPr>
          <w:color w:val="auto"/>
        </w:rPr>
      </w:pPr>
      <w:r>
        <w:rPr>
          <w:rFonts w:ascii="Times New Roman" w:hAnsi="Times New Roman"/>
          <w:b/>
          <w:color w:val="auto"/>
          <w:sz w:val="24"/>
        </w:rPr>
        <w:t>1.3.2 Périmètre fonctionnel de RecruitPRO</w:t>
      </w:r>
    </w:p>
    <w:p w14:paraId="06F9A063">
      <w:pPr>
        <w:spacing w:after="120"/>
        <w:ind w:firstLine="567"/>
        <w:jc w:val="both"/>
        <w:rPr>
          <w:color w:val="auto"/>
        </w:rPr>
      </w:pPr>
      <w:r>
        <w:rPr>
          <w:rFonts w:ascii="Times New Roman" w:hAnsi="Times New Roman"/>
          <w:b w:val="0"/>
          <w:i w:val="0"/>
          <w:color w:val="auto"/>
          <w:sz w:val="24"/>
        </w:rPr>
        <w:t>Au terme d'un diagnostic approfondi réalisé en collaboration avec les équipes de l'IFDC et de la Direction des Ressources Humaines de l'ONCF, le périmètre fonctionnel de la plateforme RecruitPRO a été défini autour de trois modules principaux :</w:t>
      </w:r>
    </w:p>
    <w:p w14:paraId="52AE80F4">
      <w:pPr>
        <w:spacing w:after="120"/>
        <w:ind w:firstLine="567"/>
        <w:jc w:val="both"/>
        <w:rPr>
          <w:color w:val="auto"/>
        </w:rPr>
      </w:pPr>
      <w:r>
        <w:rPr>
          <w:rFonts w:ascii="Times New Roman" w:hAnsi="Times New Roman"/>
          <w:b w:val="0"/>
          <w:i w:val="0"/>
          <w:color w:val="auto"/>
          <w:sz w:val="24"/>
        </w:rPr>
        <w:t>Module 1 – ATS (Applicant Tracking System) : gestion complète du processus de recrutement externe, depuis la publication des offres d'emploi jusqu'à l'intégration du candidat recruté. Ce module intègre un moteur de matching algorithmique permettant d'évaluer l'adéquation entre le profil d'un candidat et les exigences d'un poste.</w:t>
      </w:r>
    </w:p>
    <w:p w14:paraId="6D2A4D83">
      <w:pPr>
        <w:spacing w:after="120"/>
        <w:ind w:firstLine="567"/>
        <w:jc w:val="both"/>
        <w:rPr>
          <w:color w:val="auto"/>
        </w:rPr>
      </w:pPr>
      <w:r>
        <w:rPr>
          <w:rFonts w:ascii="Times New Roman" w:hAnsi="Times New Roman"/>
          <w:b w:val="0"/>
          <w:i w:val="0"/>
          <w:color w:val="auto"/>
          <w:sz w:val="24"/>
        </w:rPr>
        <w:t>Module 2 – Espace RH : gestion des employés (fiches de poste, compétences, parcours), organigramme interactif, gestion de la mobilité interne (postes ouverts, candidatures internes, matching interne) et suivi des formations assignées.</w:t>
      </w:r>
    </w:p>
    <w:p w14:paraId="7D693742">
      <w:pPr>
        <w:spacing w:after="120"/>
        <w:ind w:firstLine="567"/>
        <w:jc w:val="both"/>
        <w:rPr>
          <w:color w:val="auto"/>
        </w:rPr>
      </w:pPr>
      <w:r>
        <w:rPr>
          <w:rFonts w:ascii="Times New Roman" w:hAnsi="Times New Roman"/>
          <w:b w:val="0"/>
          <w:i w:val="0"/>
          <w:color w:val="auto"/>
          <w:sz w:val="24"/>
        </w:rPr>
        <w:t>Module 3 – LMS (Learning Management System) : catalogue de formations structuré par domaines et niveaux, inscriptions des apprenants, suivi de progression, quiz d'évaluation et certification. Le LMS est connecté au module ATS via un mécanisme de synchronisation des compétences acquises lors des formations.</w:t>
      </w:r>
    </w:p>
    <w:p w14:paraId="482A1BA6">
      <w:pPr>
        <w:rPr>
          <w:color w:val="auto"/>
        </w:rPr>
      </w:pPr>
      <w:r>
        <w:rPr>
          <w:color w:val="auto"/>
        </w:rPr>
        <w:br w:type="page"/>
      </w:r>
    </w:p>
    <w:p w14:paraId="14232DC7">
      <w:pPr>
        <w:pStyle w:val="2"/>
        <w:jc w:val="left"/>
        <w:rPr>
          <w:color w:val="auto"/>
        </w:rPr>
      </w:pPr>
      <w:r>
        <w:rPr>
          <w:rFonts w:ascii="Times New Roman" w:hAnsi="Times New Roman"/>
          <w:color w:val="auto"/>
          <w:sz w:val="32"/>
        </w:rPr>
        <w:t>Chapitre 2 : État de l'art et étude de l'existant</w:t>
      </w:r>
    </w:p>
    <w:p w14:paraId="4C0D6A8E">
      <w:pPr>
        <w:pStyle w:val="3"/>
        <w:jc w:val="left"/>
        <w:rPr>
          <w:color w:val="auto"/>
        </w:rPr>
      </w:pPr>
      <w:r>
        <w:rPr>
          <w:rFonts w:ascii="Times New Roman" w:hAnsi="Times New Roman"/>
          <w:color w:val="auto"/>
          <w:sz w:val="28"/>
        </w:rPr>
        <w:t>2.1 La gestion des compétences : fondements théoriques</w:t>
      </w:r>
    </w:p>
    <w:p w14:paraId="5E611E31">
      <w:pPr>
        <w:pStyle w:val="4"/>
        <w:rPr>
          <w:color w:val="auto"/>
        </w:rPr>
      </w:pPr>
      <w:r>
        <w:rPr>
          <w:rFonts w:ascii="Times New Roman" w:hAnsi="Times New Roman"/>
          <w:b/>
          <w:color w:val="auto"/>
          <w:sz w:val="24"/>
        </w:rPr>
        <w:t>2.1.1 La notion de compétence</w:t>
      </w:r>
    </w:p>
    <w:p w14:paraId="27265CD7">
      <w:pPr>
        <w:spacing w:after="120"/>
        <w:ind w:firstLine="567"/>
        <w:jc w:val="both"/>
        <w:rPr>
          <w:color w:val="auto"/>
        </w:rPr>
      </w:pPr>
      <w:r>
        <w:rPr>
          <w:rFonts w:ascii="Times New Roman" w:hAnsi="Times New Roman"/>
          <w:b w:val="0"/>
          <w:i w:val="0"/>
          <w:color w:val="auto"/>
          <w:sz w:val="24"/>
        </w:rPr>
        <w:t>La compétence est une notion polysémique qui a fait l'objet de nombreuses définitions dans la littérature académique et managériale. Dans la tradition française des sciences de gestion, Guy Le Boterf (2000) définit la compétence comme « la capacité à mobiliser et combiner des ressources (savoirs, savoir-faire, savoir-être) pour gérer un ensemble de situations professionnelles. » Cette définition met en avant le caractère situé et contextualisé de la compétence : elle ne se résume pas à la possession de connaissances ou d'aptitudes, mais à la capacité à les mobiliser de manière pertinente dans une situation de travail donnée.</w:t>
      </w:r>
    </w:p>
    <w:p w14:paraId="4445E264">
      <w:pPr>
        <w:spacing w:after="120"/>
        <w:ind w:firstLine="567"/>
        <w:jc w:val="both"/>
        <w:rPr>
          <w:color w:val="auto"/>
        </w:rPr>
      </w:pPr>
      <w:r>
        <w:rPr>
          <w:rFonts w:ascii="Times New Roman" w:hAnsi="Times New Roman"/>
          <w:b w:val="0"/>
          <w:i w:val="0"/>
          <w:color w:val="auto"/>
          <w:sz w:val="24"/>
        </w:rPr>
        <w:t>Dans le cadre de ce projet, nous adoptons une définition opérationnelle de la compétence comme un triplet (domaine, niveau, ancienneté) : un domaine de compétence (par exemple, « Gestion de projet », « Maintenance électromécanique », « Conduite ferroviaire ») est maîtrisé par un individu à un certain niveau (de 1 – débutant à 4 – expert) et depuis un nombre d'années d'expérience mesurant l'ancienneté dans cette compétence. Cette modélisation, inspirée des référentiels de compétences professionnelles (ROME, ESCO), permet une comparaison quantifiée entre profils et exigences de postes.</w:t>
      </w:r>
    </w:p>
    <w:p w14:paraId="6A60D4CD">
      <w:pPr>
        <w:pStyle w:val="4"/>
        <w:rPr>
          <w:color w:val="auto"/>
        </w:rPr>
      </w:pPr>
      <w:r>
        <w:rPr>
          <w:rFonts w:ascii="Times New Roman" w:hAnsi="Times New Roman"/>
          <w:b/>
          <w:color w:val="auto"/>
          <w:sz w:val="24"/>
        </w:rPr>
        <w:t>2.1.2 La Gestion Prévisionnelle des Emplois et des Compétences (GPEC)</w:t>
      </w:r>
    </w:p>
    <w:p w14:paraId="0F17B16D">
      <w:pPr>
        <w:spacing w:after="120"/>
        <w:ind w:firstLine="567"/>
        <w:jc w:val="both"/>
        <w:rPr>
          <w:color w:val="auto"/>
        </w:rPr>
      </w:pPr>
      <w:r>
        <w:rPr>
          <w:rFonts w:ascii="Times New Roman" w:hAnsi="Times New Roman"/>
          <w:b w:val="0"/>
          <w:i w:val="0"/>
          <w:color w:val="auto"/>
          <w:sz w:val="24"/>
        </w:rPr>
        <w:t>La GPEC, codifiée en France par la loi Borloo de 2005 et largement adoptée dans les grandes organisations marocaines à la suite des réformes de la Fonction Publique, est une démarche d'anticipation et de gestion prospective des ressources humaines. Elle s'articule autour de quatre temps forts :</w:t>
      </w:r>
    </w:p>
    <w:p w14:paraId="69330716">
      <w:pPr>
        <w:pStyle w:val="34"/>
        <w:ind w:left="567"/>
        <w:rPr>
          <w:color w:val="auto"/>
        </w:rPr>
      </w:pPr>
      <w:r>
        <w:rPr>
          <w:rFonts w:ascii="Times New Roman" w:hAnsi="Times New Roman"/>
          <w:b w:val="0"/>
          <w:i w:val="0"/>
          <w:color w:val="auto"/>
          <w:sz w:val="24"/>
        </w:rPr>
        <w:t>L'état des lieux : cartographie des emplois et des compétences disponibles dans l'organisation.</w:t>
      </w:r>
    </w:p>
    <w:p w14:paraId="596336AE">
      <w:pPr>
        <w:pStyle w:val="34"/>
        <w:ind w:left="567"/>
        <w:rPr>
          <w:color w:val="auto"/>
        </w:rPr>
      </w:pPr>
      <w:r>
        <w:rPr>
          <w:rFonts w:ascii="Times New Roman" w:hAnsi="Times New Roman"/>
          <w:b w:val="0"/>
          <w:i w:val="0"/>
          <w:color w:val="auto"/>
          <w:sz w:val="24"/>
        </w:rPr>
        <w:t>La projection : identification des emplois et des compétences cibles à l'horizon de 3 à 5 ans, en tenant compte des évolutions stratégiques, technologiques et réglementaires.</w:t>
      </w:r>
    </w:p>
    <w:p w14:paraId="5F97FD3A">
      <w:pPr>
        <w:pStyle w:val="34"/>
        <w:ind w:left="567"/>
        <w:rPr>
          <w:color w:val="auto"/>
        </w:rPr>
      </w:pPr>
      <w:r>
        <w:rPr>
          <w:rFonts w:ascii="Times New Roman" w:hAnsi="Times New Roman"/>
          <w:b w:val="0"/>
          <w:i w:val="0"/>
          <w:color w:val="auto"/>
          <w:sz w:val="24"/>
        </w:rPr>
        <w:t>L'analyse des écarts : comparaison entre la situation actuelle et la cible pour identifier les emplois en tension, les métiers émergents et les compétences à développer.</w:t>
      </w:r>
    </w:p>
    <w:p w14:paraId="4A788F3A">
      <w:pPr>
        <w:pStyle w:val="34"/>
        <w:ind w:left="567"/>
        <w:rPr>
          <w:color w:val="auto"/>
        </w:rPr>
      </w:pPr>
      <w:r>
        <w:rPr>
          <w:rFonts w:ascii="Times New Roman" w:hAnsi="Times New Roman"/>
          <w:b w:val="0"/>
          <w:i w:val="0"/>
          <w:color w:val="auto"/>
          <w:sz w:val="24"/>
        </w:rPr>
        <w:t>Le plan d'action : définition des mesures correctives (formation, recrutement, mobilité, reconversion) et leur suivi dans le temps.</w:t>
      </w:r>
    </w:p>
    <w:p w14:paraId="25031D6B">
      <w:pPr>
        <w:spacing w:after="120"/>
        <w:ind w:firstLine="567"/>
        <w:jc w:val="both"/>
        <w:rPr>
          <w:color w:val="auto"/>
        </w:rPr>
      </w:pPr>
      <w:r>
        <w:rPr>
          <w:rFonts w:ascii="Times New Roman" w:hAnsi="Times New Roman"/>
          <w:b w:val="0"/>
          <w:i w:val="0"/>
          <w:color w:val="auto"/>
          <w:sz w:val="24"/>
        </w:rPr>
        <w:t>RecruitPRO s'inscrit dans cette logique GPEC en offrant les outils nécessaires à chacun de ces temps forts : la cartographie des compétences (via les profils candidats et employés), le matching avec les postes cibles, l'identification des écarts et la recommandation de formations pour les combler.</w:t>
      </w:r>
    </w:p>
    <w:p w14:paraId="48054496">
      <w:pPr>
        <w:pStyle w:val="4"/>
        <w:rPr>
          <w:color w:val="auto"/>
        </w:rPr>
      </w:pPr>
      <w:r>
        <w:rPr>
          <w:rFonts w:ascii="Times New Roman" w:hAnsi="Times New Roman"/>
          <w:b/>
          <w:color w:val="auto"/>
          <w:sz w:val="24"/>
        </w:rPr>
        <w:t>2.1.3 L'analyse des écarts de compétences (Skill Gap Analysis)</w:t>
      </w:r>
    </w:p>
    <w:p w14:paraId="50453141">
      <w:pPr>
        <w:spacing w:after="120"/>
        <w:ind w:firstLine="567"/>
        <w:jc w:val="both"/>
        <w:rPr>
          <w:color w:val="auto"/>
        </w:rPr>
      </w:pPr>
      <w:r>
        <w:rPr>
          <w:rFonts w:ascii="Times New Roman" w:hAnsi="Times New Roman"/>
          <w:b w:val="0"/>
          <w:i w:val="0"/>
          <w:color w:val="auto"/>
          <w:sz w:val="24"/>
        </w:rPr>
        <w:t>L'analyse des écarts de compétences (skill gap analysis) est une technique qui permet de mesurer la distance entre les compétences qu'un individu possède et celles qu'un poste requiert. Elle constitue le fondement analytique du moteur de matching développé dans ce projet.</w:t>
      </w:r>
    </w:p>
    <w:p w14:paraId="1CE5D7AA">
      <w:pPr>
        <w:spacing w:after="120"/>
        <w:ind w:firstLine="567"/>
        <w:jc w:val="both"/>
        <w:rPr>
          <w:color w:val="auto"/>
        </w:rPr>
      </w:pPr>
      <w:r>
        <w:rPr>
          <w:rFonts w:ascii="Times New Roman" w:hAnsi="Times New Roman"/>
          <w:b w:val="0"/>
          <w:i w:val="0"/>
          <w:color w:val="auto"/>
          <w:sz w:val="24"/>
        </w:rPr>
        <w:t>Pour chaque compétence requise par un poste, on peut définir un écart comme la différence entre le niveau requis et le niveau détenu par le candidat. Un écart positif indique une sous-compétence (le candidat n'atteint pas le niveau requis) ; un écart négatif indique une sur-compétence (le candidat dépasse le niveau requis). L'analyse GPEC cherche à minimiser les écarts positifs à l'échelle de l'organisation entière.</w:t>
      </w:r>
    </w:p>
    <w:p w14:paraId="12577FAF">
      <w:pPr>
        <w:spacing w:after="120"/>
        <w:ind w:firstLine="567"/>
        <w:jc w:val="both"/>
        <w:rPr>
          <w:color w:val="auto"/>
        </w:rPr>
      </w:pPr>
      <w:r>
        <w:rPr>
          <w:rFonts w:ascii="Times New Roman" w:hAnsi="Times New Roman"/>
          <w:b w:val="0"/>
          <w:i w:val="0"/>
          <w:color w:val="auto"/>
          <w:sz w:val="24"/>
        </w:rPr>
        <w:t>Dans le moteur de matching de RecruitPRO, cet écart est quantifié et agrégé en un score de fit qui pondère les compétences selon leur caractère obligatoire ou optionnel et applique une pénalité multiplicative en cas de compétence obligatoire manquante.</w:t>
      </w:r>
    </w:p>
    <w:p w14:paraId="63A9540C">
      <w:pPr>
        <w:pStyle w:val="3"/>
        <w:jc w:val="left"/>
        <w:rPr>
          <w:color w:val="auto"/>
        </w:rPr>
      </w:pPr>
      <w:r>
        <w:rPr>
          <w:rFonts w:ascii="Times New Roman" w:hAnsi="Times New Roman"/>
          <w:color w:val="auto"/>
          <w:sz w:val="28"/>
        </w:rPr>
        <w:t>2.2 Les systèmes d'information RH : panorama</w:t>
      </w:r>
    </w:p>
    <w:p w14:paraId="2A2704C8">
      <w:pPr>
        <w:pStyle w:val="4"/>
        <w:rPr>
          <w:color w:val="auto"/>
        </w:rPr>
      </w:pPr>
      <w:r>
        <w:rPr>
          <w:rFonts w:ascii="Times New Roman" w:hAnsi="Times New Roman"/>
          <w:b/>
          <w:color w:val="auto"/>
          <w:sz w:val="24"/>
        </w:rPr>
        <w:t>2.2.1 Les ATS (Applicant Tracking Systems)</w:t>
      </w:r>
    </w:p>
    <w:p w14:paraId="711FA05A">
      <w:pPr>
        <w:spacing w:after="120"/>
        <w:ind w:firstLine="567"/>
        <w:jc w:val="both"/>
        <w:rPr>
          <w:color w:val="auto"/>
        </w:rPr>
      </w:pPr>
      <w:r>
        <w:rPr>
          <w:rFonts w:ascii="Times New Roman" w:hAnsi="Times New Roman"/>
          <w:b w:val="0"/>
          <w:i w:val="0"/>
          <w:color w:val="auto"/>
          <w:sz w:val="24"/>
        </w:rPr>
        <w:t>Un système de suivi des candidatures (ATS) est une application logicielle qui gère l'ensemble du processus de recrutement, de la publication des offres à l'intégration du candidat retenu. Les fonctionnalités typiques d'un ATS comprennent : la gestion des offres d'emploi, la collecte et le tri des candidatures, la communication avec les candidats, la planification des entretiens, l'évaluation des candidats par les recruteurs et la génération de rapports sur le processus de recrutement.</w:t>
      </w:r>
    </w:p>
    <w:p w14:paraId="1408017A">
      <w:pPr>
        <w:spacing w:after="120"/>
        <w:ind w:firstLine="567"/>
        <w:jc w:val="both"/>
        <w:rPr>
          <w:color w:val="auto"/>
        </w:rPr>
      </w:pPr>
      <w:r>
        <w:rPr>
          <w:rFonts w:ascii="Times New Roman" w:hAnsi="Times New Roman"/>
          <w:b w:val="0"/>
          <w:i w:val="0"/>
          <w:color w:val="auto"/>
          <w:sz w:val="24"/>
        </w:rPr>
        <w:t>Les ATS leaders du marché mondial incluent Workday Recruiting, SAP SuccessFactors, Oracle Taleo, Greenhouse et Lever. En France et au Maroc, des solutions comme Talentsoft, Cegid Talent ou SmartRecruiters sont largement adoptées par les grandes organisations. Ces solutions présentent l'avantage d'une large couverture fonctionnelle mais souffrent souvent d'une complexité d'implémentation, d'un coût élevé et d'une faible personnalisation pour des organisations aux besoins spécifiques comme l'ONCF.</w:t>
      </w:r>
    </w:p>
    <w:p w14:paraId="22D7E89F">
      <w:pPr>
        <w:pStyle w:val="4"/>
        <w:rPr>
          <w:color w:val="auto"/>
        </w:rPr>
      </w:pPr>
      <w:r>
        <w:rPr>
          <w:rFonts w:ascii="Times New Roman" w:hAnsi="Times New Roman"/>
          <w:b/>
          <w:color w:val="auto"/>
          <w:sz w:val="24"/>
        </w:rPr>
        <w:t>2.2.2 Les LMS (Learning Management Systems)</w:t>
      </w:r>
    </w:p>
    <w:p w14:paraId="53911942">
      <w:pPr>
        <w:spacing w:after="120"/>
        <w:ind w:firstLine="567"/>
        <w:jc w:val="both"/>
        <w:rPr>
          <w:color w:val="auto"/>
        </w:rPr>
      </w:pPr>
      <w:r>
        <w:rPr>
          <w:rFonts w:ascii="Times New Roman" w:hAnsi="Times New Roman"/>
          <w:b w:val="0"/>
          <w:i w:val="0"/>
          <w:color w:val="auto"/>
          <w:sz w:val="24"/>
        </w:rPr>
        <w:t>Un système de gestion de la formation (LMS) est une plateforme logicielle destinée à créer, déployer, gérer et suivre des contenus pédagogiques et des parcours de formation. Il constitue le pivot de la formation digitale en entreprise. Les fonctionnalités clés d'un LMS comprennent : la gestion d'un catalogue de formations, l'inscription des apprenants, la diffusion des contenus (vidéos, documents, quiz), le suivi de la progression, la délivrance de certifications et les tableaux de bord de pilotage.</w:t>
      </w:r>
    </w:p>
    <w:p w14:paraId="14132F84">
      <w:pPr>
        <w:spacing w:after="120"/>
        <w:ind w:firstLine="567"/>
        <w:jc w:val="both"/>
        <w:rPr>
          <w:color w:val="auto"/>
        </w:rPr>
      </w:pPr>
      <w:r>
        <w:rPr>
          <w:rFonts w:ascii="Times New Roman" w:hAnsi="Times New Roman"/>
          <w:b w:val="0"/>
          <w:i w:val="0"/>
          <w:color w:val="auto"/>
          <w:sz w:val="24"/>
        </w:rPr>
        <w:t>Les principaux LMS du marché incluent Moodle (open source, très répandu dans l'enseignement supérieur et la formation professionnelle en Afrique du Nord), Cornerstone OnDemand, TalentLMS, 360Learning et Docebo. L'ONCF utilise actuellement [COMPLÉTER]. Dans RecruitPRO, le LMS développé s'inspire des meilleures pratiques de ces solutions tout en étant conçu pour s'intégrer nativement avec les modules ATS et RH.</w:t>
      </w:r>
    </w:p>
    <w:p w14:paraId="45ABC4E0">
      <w:pPr>
        <w:pStyle w:val="4"/>
        <w:rPr>
          <w:color w:val="auto"/>
        </w:rPr>
      </w:pPr>
      <w:r>
        <w:rPr>
          <w:rFonts w:ascii="Times New Roman" w:hAnsi="Times New Roman"/>
          <w:b/>
          <w:color w:val="auto"/>
          <w:sz w:val="24"/>
        </w:rPr>
        <w:t>2.2.3 Les SIRH intégrés</w:t>
      </w:r>
    </w:p>
    <w:p w14:paraId="2E24F0CE">
      <w:pPr>
        <w:spacing w:after="120"/>
        <w:ind w:firstLine="567"/>
        <w:jc w:val="both"/>
        <w:rPr>
          <w:color w:val="auto"/>
        </w:rPr>
      </w:pPr>
      <w:r>
        <w:rPr>
          <w:rFonts w:ascii="Times New Roman" w:hAnsi="Times New Roman"/>
          <w:b w:val="0"/>
          <w:i w:val="0"/>
          <w:color w:val="auto"/>
          <w:sz w:val="24"/>
        </w:rPr>
        <w:t>La tendance actuelle du marché des SIRH est à l'intégration de l'ensemble des fonctions RH dans une suite logicielle unifiée. Des acteurs comme SAP SuccessFactors, Oracle HCM Cloud ou Workday proposent des suites qui couvrent le recrutement, la gestion des talents, la formation, la paie et la gestion administrative au sein d'un seul système. Cette intégration présente des avantages majeurs en termes de cohérence des données, d'expérience utilisateur et de vision unifiée du collaborateur.</w:t>
      </w:r>
    </w:p>
    <w:p w14:paraId="3D1A6795">
      <w:pPr>
        <w:spacing w:after="120"/>
        <w:ind w:firstLine="567"/>
        <w:jc w:val="both"/>
        <w:rPr>
          <w:color w:val="auto"/>
        </w:rPr>
      </w:pPr>
      <w:r>
        <w:rPr>
          <w:rFonts w:ascii="Times New Roman" w:hAnsi="Times New Roman"/>
          <w:b w:val="0"/>
          <w:i w:val="0"/>
          <w:color w:val="auto"/>
          <w:sz w:val="24"/>
        </w:rPr>
        <w:t>RecruitPRO adopte cette philosophie d'intégration à l'échelle d'un projet de développement sur mesure : les trois modules (ATS, RH, LMS) partagent le même référentiel de compétences, la même identité utilisateur (SSO) et échangent des données en temps réel pour assurer la cohérence du profil à chaque étape du parcours.</w:t>
      </w:r>
    </w:p>
    <w:p w14:paraId="73C5AA82">
      <w:pPr>
        <w:pStyle w:val="3"/>
        <w:jc w:val="left"/>
        <w:rPr>
          <w:color w:val="auto"/>
        </w:rPr>
      </w:pPr>
      <w:r>
        <w:rPr>
          <w:rFonts w:ascii="Times New Roman" w:hAnsi="Times New Roman"/>
          <w:color w:val="auto"/>
          <w:sz w:val="28"/>
        </w:rPr>
        <w:t>2.3 Le matching algorithmique dans le recrutement</w:t>
      </w:r>
    </w:p>
    <w:p w14:paraId="34E081B6">
      <w:pPr>
        <w:pStyle w:val="4"/>
        <w:rPr>
          <w:color w:val="auto"/>
        </w:rPr>
      </w:pPr>
      <w:r>
        <w:rPr>
          <w:rFonts w:ascii="Times New Roman" w:hAnsi="Times New Roman"/>
          <w:b/>
          <w:color w:val="auto"/>
          <w:sz w:val="24"/>
        </w:rPr>
        <w:t>2.3.1 Les approches de matching</w:t>
      </w:r>
    </w:p>
    <w:p w14:paraId="19095CEF">
      <w:pPr>
        <w:spacing w:after="120"/>
        <w:ind w:firstLine="567"/>
        <w:jc w:val="both"/>
        <w:rPr>
          <w:color w:val="auto"/>
        </w:rPr>
      </w:pPr>
      <w:r>
        <w:rPr>
          <w:rFonts w:ascii="Times New Roman" w:hAnsi="Times New Roman"/>
          <w:b w:val="0"/>
          <w:i w:val="0"/>
          <w:color w:val="auto"/>
          <w:sz w:val="24"/>
        </w:rPr>
        <w:t>Le matching entre profils et postes est un problème classique de la recherche d'information qui a donné lieu à de nombreuses approches algorithmiques. On distingue généralement trois grandes familles de méthodes :</w:t>
      </w:r>
    </w:p>
    <w:p w14:paraId="70575A08">
      <w:pPr>
        <w:spacing w:after="120"/>
        <w:ind w:firstLine="567"/>
        <w:jc w:val="both"/>
        <w:rPr>
          <w:color w:val="auto"/>
        </w:rPr>
      </w:pPr>
      <w:r>
        <w:rPr>
          <w:rFonts w:ascii="Times New Roman" w:hAnsi="Times New Roman"/>
          <w:b w:val="0"/>
          <w:i w:val="0"/>
          <w:color w:val="auto"/>
          <w:sz w:val="24"/>
        </w:rPr>
        <w:t>Les méthodes basées sur des règles (rule-based) : elles définissent explicitement les critères de compatibilité et leurs pondérations. Elles sont transparentes et explicables mais requièrent une expertise métier pour paramétrer les règles et ne gèrent pas bien les cas ambigus. C'est l'approche adoptée dans le moteur de RecruitPRO, pour sa transparence et sa facilité d'audit par les équipes RH.</w:t>
      </w:r>
    </w:p>
    <w:p w14:paraId="71664C58">
      <w:pPr>
        <w:spacing w:after="120"/>
        <w:ind w:firstLine="567"/>
        <w:jc w:val="both"/>
        <w:rPr>
          <w:color w:val="auto"/>
        </w:rPr>
      </w:pPr>
      <w:r>
        <w:rPr>
          <w:rFonts w:ascii="Times New Roman" w:hAnsi="Times New Roman"/>
          <w:b w:val="0"/>
          <w:i w:val="0"/>
          <w:color w:val="auto"/>
          <w:sz w:val="24"/>
        </w:rPr>
        <w:t>Les méthodes basées sur le traitement du langage naturel (NLP) : elles analysent le texte des CV et des offres d'emploi pour en extraire les entités (compétences, diplômes, entreprises) et calculer une similarité sémantique. Des outils comme Word2Vec, BERT ou GPT permettent de capturer des synonymies et des relations conceptuelles entre compétences. Ces méthodes sont puissantes mais nécessitent des volumes de données importants pour l'entraînement et manquent de transparence.</w:t>
      </w:r>
    </w:p>
    <w:p w14:paraId="7E09E67E">
      <w:pPr>
        <w:spacing w:after="120"/>
        <w:ind w:firstLine="567"/>
        <w:jc w:val="both"/>
        <w:rPr>
          <w:color w:val="auto"/>
        </w:rPr>
      </w:pPr>
      <w:r>
        <w:rPr>
          <w:rFonts w:ascii="Times New Roman" w:hAnsi="Times New Roman"/>
          <w:b w:val="0"/>
          <w:i w:val="0"/>
          <w:color w:val="auto"/>
          <w:sz w:val="24"/>
        </w:rPr>
        <w:t>Les méthodes hybrides : elles combinent les deux approches précédentes, exploitant la puissance du NLP pour l'extraction d'entités et des règles métier pour la pondération. Elles représentent l'état de l'art actuel des ATS modernes.</w:t>
      </w:r>
    </w:p>
    <w:p w14:paraId="228E6268">
      <w:pPr>
        <w:pStyle w:val="4"/>
        <w:rPr>
          <w:color w:val="auto"/>
        </w:rPr>
      </w:pPr>
      <w:r>
        <w:rPr>
          <w:rFonts w:ascii="Times New Roman" w:hAnsi="Times New Roman"/>
          <w:b/>
          <w:color w:val="auto"/>
          <w:sz w:val="24"/>
        </w:rPr>
        <w:t>2.3.2 L'approche ROME pour l'évaluation du potentiel</w:t>
      </w:r>
    </w:p>
    <w:p w14:paraId="416AA591">
      <w:pPr>
        <w:spacing w:after="120"/>
        <w:ind w:firstLine="567"/>
        <w:jc w:val="both"/>
        <w:rPr>
          <w:color w:val="auto"/>
        </w:rPr>
      </w:pPr>
      <w:r>
        <w:rPr>
          <w:rFonts w:ascii="Times New Roman" w:hAnsi="Times New Roman"/>
          <w:b w:val="0"/>
          <w:i w:val="0"/>
          <w:color w:val="auto"/>
          <w:sz w:val="24"/>
        </w:rPr>
        <w:t xml:space="preserve">Le Répertoire Opérationnel des Métiers et des Emplois (ROME), développé par France Travail (anciennement Pôle Emploi), est un référentiel qui organise les métiers en domaines, </w:t>
      </w:r>
      <w:bookmarkStart w:id="0" w:name="_GoBack"/>
      <w:bookmarkEnd w:id="0"/>
      <w:r>
        <w:rPr>
          <w:rFonts w:ascii="Times New Roman" w:hAnsi="Times New Roman"/>
          <w:b w:val="0"/>
          <w:i w:val="0"/>
          <w:color w:val="auto"/>
          <w:sz w:val="24"/>
        </w:rPr>
        <w:t>familles et fiches-métiers. Sa structure hiérarchique permet de mesurer la proximité entre deux métiers : deux métiers du même sous-domaine sont proches (ex. deux métiers de maintenance industrielle) ; deux métiers du même domaine mais de sous-domaines différents sont moyennement proches ; deux métiers de domaines différents sont éloignés.</w:t>
      </w:r>
    </w:p>
    <w:p w14:paraId="174E7DFB">
      <w:pPr>
        <w:spacing w:after="120"/>
        <w:ind w:firstLine="567"/>
        <w:jc w:val="both"/>
        <w:rPr>
          <w:color w:val="auto"/>
        </w:rPr>
      </w:pPr>
      <w:r>
        <w:rPr>
          <w:rFonts w:ascii="Times New Roman" w:hAnsi="Times New Roman"/>
          <w:b w:val="0"/>
          <w:i w:val="0"/>
          <w:color w:val="auto"/>
          <w:sz w:val="24"/>
        </w:rPr>
        <w:t>Dans le moteur de matching de RecruitPRO, cette proximité ROME est utilisée pour calculer un score de potentiel : un candidat dont le métier actuel est proche du poste visé a un potentiel d'adaptation élevé, même si ses compétences ne correspondent pas parfaitement aux exigences actuelles. Cette dimension « potentiel » complète la dimension « fit » (adéquation compétences actuelles/requises) pour offrir une évaluation bidimensionnelle des candidats.</w:t>
      </w:r>
    </w:p>
    <w:p w14:paraId="04E0E917">
      <w:pPr>
        <w:pStyle w:val="3"/>
        <w:jc w:val="left"/>
        <w:rPr>
          <w:color w:val="auto"/>
        </w:rPr>
      </w:pPr>
      <w:r>
        <w:rPr>
          <w:rFonts w:ascii="Times New Roman" w:hAnsi="Times New Roman"/>
          <w:color w:val="auto"/>
          <w:sz w:val="28"/>
        </w:rPr>
        <w:t>2.4 Étude comparative des solutions existantes</w:t>
      </w:r>
    </w:p>
    <w:p w14:paraId="27C0BD2B">
      <w:pPr>
        <w:spacing w:after="120"/>
        <w:ind w:firstLine="567"/>
        <w:jc w:val="both"/>
        <w:rPr>
          <w:color w:val="auto"/>
        </w:rPr>
      </w:pPr>
      <w:r>
        <w:rPr>
          <w:rFonts w:ascii="Times New Roman" w:hAnsi="Times New Roman"/>
          <w:b w:val="0"/>
          <w:i w:val="0"/>
          <w:color w:val="auto"/>
          <w:sz w:val="24"/>
        </w:rPr>
        <w:t>Afin de positionner RecruitPRO par rapport aux solutions existantes, nous avons conduit une étude comparative sur quatre axes : couverture fonctionnelle, intégration native entre modules, coût et complexité de déploiement, et personnalisation pour les organisations du secteur public marocain.</w:t>
      </w:r>
    </w:p>
    <w:tbl>
      <w:tblPr>
        <w:tblStyle w:val="6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gridCol w:w="2280"/>
        <w:gridCol w:w="2280"/>
        <w:gridCol w:w="2280"/>
      </w:tblGrid>
      <w:tr w14:paraId="563B2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shd w:val="clear" w:color="auto" w:fill="1F497D"/>
          </w:tcPr>
          <w:p w14:paraId="2C26F31B">
            <w:pPr>
              <w:spacing w:after="0" w:line="240" w:lineRule="auto"/>
              <w:jc w:val="center"/>
              <w:rPr>
                <w:color w:val="auto"/>
              </w:rPr>
            </w:pPr>
            <w:r>
              <w:rPr>
                <w:rFonts w:ascii="Times New Roman" w:hAnsi="Times New Roman"/>
                <w:b/>
                <w:i w:val="0"/>
                <w:color w:val="auto"/>
                <w:sz w:val="22"/>
              </w:rPr>
              <w:t>Critère</w:t>
            </w:r>
          </w:p>
        </w:tc>
        <w:tc>
          <w:tcPr>
            <w:tcW w:w="2280" w:type="dxa"/>
            <w:shd w:val="clear" w:color="auto" w:fill="1F497D"/>
          </w:tcPr>
          <w:p w14:paraId="642D4025">
            <w:pPr>
              <w:spacing w:after="0" w:line="240" w:lineRule="auto"/>
              <w:jc w:val="center"/>
              <w:rPr>
                <w:color w:val="auto"/>
              </w:rPr>
            </w:pPr>
            <w:r>
              <w:rPr>
                <w:rFonts w:ascii="Times New Roman" w:hAnsi="Times New Roman"/>
                <w:b/>
                <w:i w:val="0"/>
                <w:color w:val="auto"/>
                <w:sz w:val="22"/>
              </w:rPr>
              <w:t>SAP SuccessFactors</w:t>
            </w:r>
          </w:p>
        </w:tc>
        <w:tc>
          <w:tcPr>
            <w:tcW w:w="2280" w:type="dxa"/>
            <w:shd w:val="clear" w:color="auto" w:fill="1F497D"/>
          </w:tcPr>
          <w:p w14:paraId="79C63917">
            <w:pPr>
              <w:spacing w:after="0" w:line="240" w:lineRule="auto"/>
              <w:jc w:val="center"/>
              <w:rPr>
                <w:color w:val="auto"/>
              </w:rPr>
            </w:pPr>
            <w:r>
              <w:rPr>
                <w:rFonts w:ascii="Times New Roman" w:hAnsi="Times New Roman"/>
                <w:b/>
                <w:i w:val="0"/>
                <w:color w:val="auto"/>
                <w:sz w:val="22"/>
              </w:rPr>
              <w:t>Moodle+Talentsoft</w:t>
            </w:r>
          </w:p>
        </w:tc>
        <w:tc>
          <w:tcPr>
            <w:tcW w:w="2280" w:type="dxa"/>
            <w:shd w:val="clear" w:color="auto" w:fill="1F497D"/>
          </w:tcPr>
          <w:p w14:paraId="4C231AA7">
            <w:pPr>
              <w:spacing w:after="0" w:line="240" w:lineRule="auto"/>
              <w:jc w:val="center"/>
              <w:rPr>
                <w:color w:val="auto"/>
              </w:rPr>
            </w:pPr>
            <w:r>
              <w:rPr>
                <w:rFonts w:ascii="Times New Roman" w:hAnsi="Times New Roman"/>
                <w:b/>
                <w:i w:val="0"/>
                <w:color w:val="auto"/>
                <w:sz w:val="22"/>
              </w:rPr>
              <w:t>RecruitPRO</w:t>
            </w:r>
          </w:p>
        </w:tc>
      </w:tr>
      <w:tr w14:paraId="7CA14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tcPr>
          <w:p w14:paraId="236ACEA9">
            <w:pPr>
              <w:spacing w:after="0" w:line="240" w:lineRule="auto"/>
              <w:rPr>
                <w:color w:val="auto"/>
              </w:rPr>
            </w:pPr>
            <w:r>
              <w:rPr>
                <w:rFonts w:ascii="Times New Roman" w:hAnsi="Times New Roman"/>
                <w:b w:val="0"/>
                <w:i w:val="0"/>
                <w:color w:val="auto"/>
                <w:sz w:val="22"/>
              </w:rPr>
              <w:t>Recrutement (ATS)</w:t>
            </w:r>
          </w:p>
        </w:tc>
        <w:tc>
          <w:tcPr>
            <w:tcW w:w="2280" w:type="dxa"/>
          </w:tcPr>
          <w:p w14:paraId="0CFE8B8B">
            <w:pPr>
              <w:spacing w:after="0" w:line="240" w:lineRule="auto"/>
              <w:rPr>
                <w:color w:val="auto"/>
              </w:rPr>
            </w:pPr>
            <w:r>
              <w:rPr>
                <w:rFonts w:ascii="Times New Roman" w:hAnsi="Times New Roman"/>
                <w:b w:val="0"/>
                <w:i w:val="0"/>
                <w:color w:val="auto"/>
                <w:sz w:val="22"/>
              </w:rPr>
              <w:t>Oui (complet)</w:t>
            </w:r>
          </w:p>
        </w:tc>
        <w:tc>
          <w:tcPr>
            <w:tcW w:w="2280" w:type="dxa"/>
          </w:tcPr>
          <w:p w14:paraId="6AC181C7">
            <w:pPr>
              <w:spacing w:after="0" w:line="240" w:lineRule="auto"/>
              <w:rPr>
                <w:color w:val="auto"/>
              </w:rPr>
            </w:pPr>
            <w:r>
              <w:rPr>
                <w:rFonts w:ascii="Times New Roman" w:hAnsi="Times New Roman"/>
                <w:b w:val="0"/>
                <w:i w:val="0"/>
                <w:color w:val="auto"/>
                <w:sz w:val="22"/>
              </w:rPr>
              <w:t>Partiel</w:t>
            </w:r>
          </w:p>
        </w:tc>
        <w:tc>
          <w:tcPr>
            <w:tcW w:w="2280" w:type="dxa"/>
          </w:tcPr>
          <w:p w14:paraId="5AF2E69F">
            <w:pPr>
              <w:spacing w:after="0" w:line="240" w:lineRule="auto"/>
              <w:rPr>
                <w:color w:val="auto"/>
              </w:rPr>
            </w:pPr>
            <w:r>
              <w:rPr>
                <w:rFonts w:ascii="Times New Roman" w:hAnsi="Times New Roman"/>
                <w:b w:val="0"/>
                <w:i w:val="0"/>
                <w:color w:val="auto"/>
                <w:sz w:val="22"/>
              </w:rPr>
              <w:t>Oui (complet)</w:t>
            </w:r>
          </w:p>
        </w:tc>
      </w:tr>
      <w:tr w14:paraId="425F8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tcPr>
          <w:p w14:paraId="1B3C97C1">
            <w:pPr>
              <w:spacing w:after="0" w:line="240" w:lineRule="auto"/>
              <w:rPr>
                <w:color w:val="auto"/>
              </w:rPr>
            </w:pPr>
            <w:r>
              <w:rPr>
                <w:rFonts w:ascii="Times New Roman" w:hAnsi="Times New Roman"/>
                <w:b w:val="0"/>
                <w:i w:val="0"/>
                <w:color w:val="auto"/>
                <w:sz w:val="22"/>
              </w:rPr>
              <w:t>LMS intégré</w:t>
            </w:r>
          </w:p>
        </w:tc>
        <w:tc>
          <w:tcPr>
            <w:tcW w:w="2280" w:type="dxa"/>
          </w:tcPr>
          <w:p w14:paraId="73542DB4">
            <w:pPr>
              <w:spacing w:after="0" w:line="240" w:lineRule="auto"/>
              <w:rPr>
                <w:color w:val="auto"/>
              </w:rPr>
            </w:pPr>
            <w:r>
              <w:rPr>
                <w:rFonts w:ascii="Times New Roman" w:hAnsi="Times New Roman"/>
                <w:b w:val="0"/>
                <w:i w:val="0"/>
                <w:color w:val="auto"/>
                <w:sz w:val="22"/>
              </w:rPr>
              <w:t>Oui</w:t>
            </w:r>
          </w:p>
        </w:tc>
        <w:tc>
          <w:tcPr>
            <w:tcW w:w="2280" w:type="dxa"/>
          </w:tcPr>
          <w:p w14:paraId="5C5BC2F0">
            <w:pPr>
              <w:spacing w:after="0" w:line="240" w:lineRule="auto"/>
              <w:rPr>
                <w:color w:val="auto"/>
              </w:rPr>
            </w:pPr>
            <w:r>
              <w:rPr>
                <w:rFonts w:ascii="Times New Roman" w:hAnsi="Times New Roman"/>
                <w:b w:val="0"/>
                <w:i w:val="0"/>
                <w:color w:val="auto"/>
                <w:sz w:val="22"/>
              </w:rPr>
              <w:t>Oui (Moodle)</w:t>
            </w:r>
          </w:p>
        </w:tc>
        <w:tc>
          <w:tcPr>
            <w:tcW w:w="2280" w:type="dxa"/>
          </w:tcPr>
          <w:p w14:paraId="50BAEDA4">
            <w:pPr>
              <w:spacing w:after="0" w:line="240" w:lineRule="auto"/>
              <w:rPr>
                <w:color w:val="auto"/>
              </w:rPr>
            </w:pPr>
            <w:r>
              <w:rPr>
                <w:rFonts w:ascii="Times New Roman" w:hAnsi="Times New Roman"/>
                <w:b w:val="0"/>
                <w:i w:val="0"/>
                <w:color w:val="auto"/>
                <w:sz w:val="22"/>
              </w:rPr>
              <w:t>Oui</w:t>
            </w:r>
          </w:p>
        </w:tc>
      </w:tr>
      <w:tr w14:paraId="250CD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tcPr>
          <w:p w14:paraId="5D02BE92">
            <w:pPr>
              <w:spacing w:after="0" w:line="240" w:lineRule="auto"/>
              <w:rPr>
                <w:color w:val="auto"/>
              </w:rPr>
            </w:pPr>
            <w:r>
              <w:rPr>
                <w:rFonts w:ascii="Times New Roman" w:hAnsi="Times New Roman"/>
                <w:b w:val="0"/>
                <w:i w:val="0"/>
                <w:color w:val="auto"/>
                <w:sz w:val="22"/>
              </w:rPr>
              <w:t>Mobilité interne</w:t>
            </w:r>
          </w:p>
        </w:tc>
        <w:tc>
          <w:tcPr>
            <w:tcW w:w="2280" w:type="dxa"/>
          </w:tcPr>
          <w:p w14:paraId="76FBA0F5">
            <w:pPr>
              <w:spacing w:after="0" w:line="240" w:lineRule="auto"/>
              <w:rPr>
                <w:color w:val="auto"/>
              </w:rPr>
            </w:pPr>
            <w:r>
              <w:rPr>
                <w:rFonts w:ascii="Times New Roman" w:hAnsi="Times New Roman"/>
                <w:b w:val="0"/>
                <w:i w:val="0"/>
                <w:color w:val="auto"/>
                <w:sz w:val="22"/>
              </w:rPr>
              <w:t>Oui</w:t>
            </w:r>
          </w:p>
        </w:tc>
        <w:tc>
          <w:tcPr>
            <w:tcW w:w="2280" w:type="dxa"/>
          </w:tcPr>
          <w:p w14:paraId="5482B349">
            <w:pPr>
              <w:spacing w:after="0" w:line="240" w:lineRule="auto"/>
              <w:rPr>
                <w:color w:val="auto"/>
              </w:rPr>
            </w:pPr>
            <w:r>
              <w:rPr>
                <w:rFonts w:ascii="Times New Roman" w:hAnsi="Times New Roman"/>
                <w:b w:val="0"/>
                <w:i w:val="0"/>
                <w:color w:val="auto"/>
                <w:sz w:val="22"/>
              </w:rPr>
              <w:t>Non</w:t>
            </w:r>
          </w:p>
        </w:tc>
        <w:tc>
          <w:tcPr>
            <w:tcW w:w="2280" w:type="dxa"/>
          </w:tcPr>
          <w:p w14:paraId="0875A6A9">
            <w:pPr>
              <w:spacing w:after="0" w:line="240" w:lineRule="auto"/>
              <w:rPr>
                <w:color w:val="auto"/>
              </w:rPr>
            </w:pPr>
            <w:r>
              <w:rPr>
                <w:rFonts w:ascii="Times New Roman" w:hAnsi="Times New Roman"/>
                <w:b w:val="0"/>
                <w:i w:val="0"/>
                <w:color w:val="auto"/>
                <w:sz w:val="22"/>
              </w:rPr>
              <w:t>Oui</w:t>
            </w:r>
          </w:p>
        </w:tc>
      </w:tr>
      <w:tr w14:paraId="1A0C3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tcPr>
          <w:p w14:paraId="1964AC82">
            <w:pPr>
              <w:spacing w:after="0" w:line="240" w:lineRule="auto"/>
              <w:rPr>
                <w:color w:val="auto"/>
              </w:rPr>
            </w:pPr>
            <w:r>
              <w:rPr>
                <w:rFonts w:ascii="Times New Roman" w:hAnsi="Times New Roman"/>
                <w:b w:val="0"/>
                <w:i w:val="0"/>
                <w:color w:val="auto"/>
                <w:sz w:val="22"/>
              </w:rPr>
              <w:t>Matching algorithmique</w:t>
            </w:r>
          </w:p>
        </w:tc>
        <w:tc>
          <w:tcPr>
            <w:tcW w:w="2280" w:type="dxa"/>
          </w:tcPr>
          <w:p w14:paraId="0A372BD0">
            <w:pPr>
              <w:spacing w:after="0" w:line="240" w:lineRule="auto"/>
              <w:rPr>
                <w:color w:val="auto"/>
              </w:rPr>
            </w:pPr>
            <w:r>
              <w:rPr>
                <w:rFonts w:ascii="Times New Roman" w:hAnsi="Times New Roman"/>
                <w:b w:val="0"/>
                <w:i w:val="0"/>
                <w:color w:val="auto"/>
                <w:sz w:val="22"/>
              </w:rPr>
              <w:t>Oui (IA avancée)</w:t>
            </w:r>
          </w:p>
        </w:tc>
        <w:tc>
          <w:tcPr>
            <w:tcW w:w="2280" w:type="dxa"/>
          </w:tcPr>
          <w:p w14:paraId="3B551D7C">
            <w:pPr>
              <w:spacing w:after="0" w:line="240" w:lineRule="auto"/>
              <w:rPr>
                <w:color w:val="auto"/>
              </w:rPr>
            </w:pPr>
            <w:r>
              <w:rPr>
                <w:rFonts w:ascii="Times New Roman" w:hAnsi="Times New Roman"/>
                <w:b w:val="0"/>
                <w:i w:val="0"/>
                <w:color w:val="auto"/>
                <w:sz w:val="22"/>
              </w:rPr>
              <w:t>Non</w:t>
            </w:r>
          </w:p>
        </w:tc>
        <w:tc>
          <w:tcPr>
            <w:tcW w:w="2280" w:type="dxa"/>
          </w:tcPr>
          <w:p w14:paraId="434A6ADD">
            <w:pPr>
              <w:spacing w:after="0" w:line="240" w:lineRule="auto"/>
              <w:rPr>
                <w:color w:val="auto"/>
              </w:rPr>
            </w:pPr>
            <w:r>
              <w:rPr>
                <w:rFonts w:ascii="Times New Roman" w:hAnsi="Times New Roman"/>
                <w:b w:val="0"/>
                <w:i w:val="0"/>
                <w:color w:val="auto"/>
                <w:sz w:val="22"/>
              </w:rPr>
              <w:t>Oui (règles métier)</w:t>
            </w:r>
          </w:p>
        </w:tc>
      </w:tr>
      <w:tr w14:paraId="3792E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tcPr>
          <w:p w14:paraId="46F4331B">
            <w:pPr>
              <w:spacing w:after="0" w:line="240" w:lineRule="auto"/>
              <w:rPr>
                <w:color w:val="auto"/>
              </w:rPr>
            </w:pPr>
            <w:r>
              <w:rPr>
                <w:rFonts w:ascii="Times New Roman" w:hAnsi="Times New Roman"/>
                <w:b w:val="0"/>
                <w:i w:val="0"/>
                <w:color w:val="auto"/>
                <w:sz w:val="22"/>
              </w:rPr>
              <w:t>SSO natif entre modules</w:t>
            </w:r>
          </w:p>
        </w:tc>
        <w:tc>
          <w:tcPr>
            <w:tcW w:w="2280" w:type="dxa"/>
          </w:tcPr>
          <w:p w14:paraId="0D0CACD7">
            <w:pPr>
              <w:spacing w:after="0" w:line="240" w:lineRule="auto"/>
              <w:rPr>
                <w:color w:val="auto"/>
              </w:rPr>
            </w:pPr>
            <w:r>
              <w:rPr>
                <w:rFonts w:ascii="Times New Roman" w:hAnsi="Times New Roman"/>
                <w:b w:val="0"/>
                <w:i w:val="0"/>
                <w:color w:val="auto"/>
                <w:sz w:val="22"/>
              </w:rPr>
              <w:t>Oui</w:t>
            </w:r>
          </w:p>
        </w:tc>
        <w:tc>
          <w:tcPr>
            <w:tcW w:w="2280" w:type="dxa"/>
          </w:tcPr>
          <w:p w14:paraId="650A44A2">
            <w:pPr>
              <w:spacing w:after="0" w:line="240" w:lineRule="auto"/>
              <w:rPr>
                <w:color w:val="auto"/>
              </w:rPr>
            </w:pPr>
            <w:r>
              <w:rPr>
                <w:rFonts w:ascii="Times New Roman" w:hAnsi="Times New Roman"/>
                <w:b w:val="0"/>
                <w:i w:val="0"/>
                <w:color w:val="auto"/>
                <w:sz w:val="22"/>
              </w:rPr>
              <w:t>Complexe</w:t>
            </w:r>
          </w:p>
        </w:tc>
        <w:tc>
          <w:tcPr>
            <w:tcW w:w="2280" w:type="dxa"/>
          </w:tcPr>
          <w:p w14:paraId="7CE0F2E3">
            <w:pPr>
              <w:spacing w:after="0" w:line="240" w:lineRule="auto"/>
              <w:rPr>
                <w:color w:val="auto"/>
              </w:rPr>
            </w:pPr>
            <w:r>
              <w:rPr>
                <w:rFonts w:ascii="Times New Roman" w:hAnsi="Times New Roman"/>
                <w:b w:val="0"/>
                <w:i w:val="0"/>
                <w:color w:val="auto"/>
                <w:sz w:val="22"/>
              </w:rPr>
              <w:t>Oui (JWT partagé)</w:t>
            </w:r>
          </w:p>
        </w:tc>
      </w:tr>
      <w:tr w14:paraId="74D26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tcPr>
          <w:p w14:paraId="7D714211">
            <w:pPr>
              <w:spacing w:after="0" w:line="240" w:lineRule="auto"/>
              <w:rPr>
                <w:color w:val="auto"/>
              </w:rPr>
            </w:pPr>
            <w:r>
              <w:rPr>
                <w:rFonts w:ascii="Times New Roman" w:hAnsi="Times New Roman"/>
                <w:b w:val="0"/>
                <w:i w:val="0"/>
                <w:color w:val="auto"/>
                <w:sz w:val="22"/>
              </w:rPr>
              <w:t>Portabilité candidat→employé</w:t>
            </w:r>
          </w:p>
        </w:tc>
        <w:tc>
          <w:tcPr>
            <w:tcW w:w="2280" w:type="dxa"/>
          </w:tcPr>
          <w:p w14:paraId="4F04716A">
            <w:pPr>
              <w:spacing w:after="0" w:line="240" w:lineRule="auto"/>
              <w:rPr>
                <w:color w:val="auto"/>
              </w:rPr>
            </w:pPr>
            <w:r>
              <w:rPr>
                <w:rFonts w:ascii="Times New Roman" w:hAnsi="Times New Roman"/>
                <w:b w:val="0"/>
                <w:i w:val="0"/>
                <w:color w:val="auto"/>
                <w:sz w:val="22"/>
              </w:rPr>
              <w:t>Oui</w:t>
            </w:r>
          </w:p>
        </w:tc>
        <w:tc>
          <w:tcPr>
            <w:tcW w:w="2280" w:type="dxa"/>
          </w:tcPr>
          <w:p w14:paraId="576EB21E">
            <w:pPr>
              <w:spacing w:after="0" w:line="240" w:lineRule="auto"/>
              <w:rPr>
                <w:color w:val="auto"/>
              </w:rPr>
            </w:pPr>
            <w:r>
              <w:rPr>
                <w:rFonts w:ascii="Times New Roman" w:hAnsi="Times New Roman"/>
                <w:b w:val="0"/>
                <w:i w:val="0"/>
                <w:color w:val="auto"/>
                <w:sz w:val="22"/>
              </w:rPr>
              <w:t>Non</w:t>
            </w:r>
          </w:p>
        </w:tc>
        <w:tc>
          <w:tcPr>
            <w:tcW w:w="2280" w:type="dxa"/>
          </w:tcPr>
          <w:p w14:paraId="65613E12">
            <w:pPr>
              <w:spacing w:after="0" w:line="240" w:lineRule="auto"/>
              <w:rPr>
                <w:color w:val="auto"/>
              </w:rPr>
            </w:pPr>
            <w:r>
              <w:rPr>
                <w:rFonts w:ascii="Times New Roman" w:hAnsi="Times New Roman"/>
                <w:b w:val="0"/>
                <w:i w:val="0"/>
                <w:color w:val="auto"/>
                <w:sz w:val="22"/>
              </w:rPr>
              <w:t>Oui</w:t>
            </w:r>
          </w:p>
        </w:tc>
      </w:tr>
      <w:tr w14:paraId="41062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tcPr>
          <w:p w14:paraId="12811014">
            <w:pPr>
              <w:spacing w:after="0" w:line="240" w:lineRule="auto"/>
              <w:rPr>
                <w:color w:val="auto"/>
              </w:rPr>
            </w:pPr>
            <w:r>
              <w:rPr>
                <w:rFonts w:ascii="Times New Roman" w:hAnsi="Times New Roman"/>
                <w:b w:val="0"/>
                <w:i w:val="0"/>
                <w:color w:val="auto"/>
                <w:sz w:val="22"/>
              </w:rPr>
              <w:t>Coût</w:t>
            </w:r>
          </w:p>
        </w:tc>
        <w:tc>
          <w:tcPr>
            <w:tcW w:w="2280" w:type="dxa"/>
          </w:tcPr>
          <w:p w14:paraId="46FACE3A">
            <w:pPr>
              <w:spacing w:after="0" w:line="240" w:lineRule="auto"/>
              <w:rPr>
                <w:color w:val="auto"/>
              </w:rPr>
            </w:pPr>
            <w:r>
              <w:rPr>
                <w:rFonts w:ascii="Times New Roman" w:hAnsi="Times New Roman"/>
                <w:b w:val="0"/>
                <w:i w:val="0"/>
                <w:color w:val="auto"/>
                <w:sz w:val="22"/>
              </w:rPr>
              <w:t>Très élevé (licence)</w:t>
            </w:r>
          </w:p>
        </w:tc>
        <w:tc>
          <w:tcPr>
            <w:tcW w:w="2280" w:type="dxa"/>
          </w:tcPr>
          <w:p w14:paraId="6FBA808B">
            <w:pPr>
              <w:spacing w:after="0" w:line="240" w:lineRule="auto"/>
              <w:rPr>
                <w:color w:val="auto"/>
              </w:rPr>
            </w:pPr>
            <w:r>
              <w:rPr>
                <w:rFonts w:ascii="Times New Roman" w:hAnsi="Times New Roman"/>
                <w:b w:val="0"/>
                <w:i w:val="0"/>
                <w:color w:val="auto"/>
                <w:sz w:val="22"/>
              </w:rPr>
              <w:t>Élevé (intégration)</w:t>
            </w:r>
          </w:p>
        </w:tc>
        <w:tc>
          <w:tcPr>
            <w:tcW w:w="2280" w:type="dxa"/>
          </w:tcPr>
          <w:p w14:paraId="52BDA9ED">
            <w:pPr>
              <w:spacing w:after="0" w:line="240" w:lineRule="auto"/>
              <w:rPr>
                <w:color w:val="auto"/>
              </w:rPr>
            </w:pPr>
            <w:r>
              <w:rPr>
                <w:rFonts w:ascii="Times New Roman" w:hAnsi="Times New Roman"/>
                <w:b w:val="0"/>
                <w:i w:val="0"/>
                <w:color w:val="auto"/>
                <w:sz w:val="22"/>
              </w:rPr>
              <w:t>Faible (sur mesure)</w:t>
            </w:r>
          </w:p>
        </w:tc>
      </w:tr>
      <w:tr w14:paraId="7D916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tcPr>
          <w:p w14:paraId="5D4C141B">
            <w:pPr>
              <w:spacing w:after="0" w:line="240" w:lineRule="auto"/>
              <w:rPr>
                <w:color w:val="auto"/>
              </w:rPr>
            </w:pPr>
            <w:r>
              <w:rPr>
                <w:rFonts w:ascii="Times New Roman" w:hAnsi="Times New Roman"/>
                <w:b w:val="0"/>
                <w:i w:val="0"/>
                <w:color w:val="auto"/>
                <w:sz w:val="22"/>
              </w:rPr>
              <w:t>Personnalisation ONCF/IFDC</w:t>
            </w:r>
          </w:p>
        </w:tc>
        <w:tc>
          <w:tcPr>
            <w:tcW w:w="2280" w:type="dxa"/>
          </w:tcPr>
          <w:p w14:paraId="04628E41">
            <w:pPr>
              <w:spacing w:after="0" w:line="240" w:lineRule="auto"/>
              <w:rPr>
                <w:color w:val="auto"/>
              </w:rPr>
            </w:pPr>
            <w:r>
              <w:rPr>
                <w:rFonts w:ascii="Times New Roman" w:hAnsi="Times New Roman"/>
                <w:b w:val="0"/>
                <w:i w:val="0"/>
                <w:color w:val="auto"/>
                <w:sz w:val="22"/>
              </w:rPr>
              <w:t>Faible</w:t>
            </w:r>
          </w:p>
        </w:tc>
        <w:tc>
          <w:tcPr>
            <w:tcW w:w="2280" w:type="dxa"/>
          </w:tcPr>
          <w:p w14:paraId="26A37B37">
            <w:pPr>
              <w:spacing w:after="0" w:line="240" w:lineRule="auto"/>
              <w:rPr>
                <w:color w:val="auto"/>
              </w:rPr>
            </w:pPr>
            <w:r>
              <w:rPr>
                <w:rFonts w:ascii="Times New Roman" w:hAnsi="Times New Roman"/>
                <w:b w:val="0"/>
                <w:i w:val="0"/>
                <w:color w:val="auto"/>
                <w:sz w:val="22"/>
              </w:rPr>
              <w:t>Moyenne</w:t>
            </w:r>
          </w:p>
        </w:tc>
        <w:tc>
          <w:tcPr>
            <w:tcW w:w="2280" w:type="dxa"/>
          </w:tcPr>
          <w:p w14:paraId="4DF7D1DC">
            <w:pPr>
              <w:spacing w:after="0" w:line="240" w:lineRule="auto"/>
              <w:rPr>
                <w:color w:val="auto"/>
              </w:rPr>
            </w:pPr>
            <w:r>
              <w:rPr>
                <w:rFonts w:ascii="Times New Roman" w:hAnsi="Times New Roman"/>
                <w:b w:val="0"/>
                <w:i w:val="0"/>
                <w:color w:val="auto"/>
                <w:sz w:val="22"/>
              </w:rPr>
              <w:t>Totale</w:t>
            </w:r>
          </w:p>
        </w:tc>
      </w:tr>
      <w:tr w14:paraId="405FC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tcPr>
          <w:p w14:paraId="36C120C2">
            <w:pPr>
              <w:spacing w:after="0" w:line="240" w:lineRule="auto"/>
              <w:rPr>
                <w:color w:val="auto"/>
              </w:rPr>
            </w:pPr>
            <w:r>
              <w:rPr>
                <w:rFonts w:ascii="Times New Roman" w:hAnsi="Times New Roman"/>
                <w:b w:val="0"/>
                <w:i w:val="0"/>
                <w:color w:val="auto"/>
                <w:sz w:val="22"/>
              </w:rPr>
              <w:t>Déploiement on-premise</w:t>
            </w:r>
          </w:p>
        </w:tc>
        <w:tc>
          <w:tcPr>
            <w:tcW w:w="2280" w:type="dxa"/>
          </w:tcPr>
          <w:p w14:paraId="75554254">
            <w:pPr>
              <w:spacing w:after="0" w:line="240" w:lineRule="auto"/>
              <w:rPr>
                <w:color w:val="auto"/>
              </w:rPr>
            </w:pPr>
            <w:r>
              <w:rPr>
                <w:rFonts w:ascii="Times New Roman" w:hAnsi="Times New Roman"/>
                <w:b w:val="0"/>
                <w:i w:val="0"/>
                <w:color w:val="auto"/>
                <w:sz w:val="22"/>
              </w:rPr>
              <w:t>Complexe</w:t>
            </w:r>
          </w:p>
        </w:tc>
        <w:tc>
          <w:tcPr>
            <w:tcW w:w="2280" w:type="dxa"/>
          </w:tcPr>
          <w:p w14:paraId="6AA0C48A">
            <w:pPr>
              <w:spacing w:after="0" w:line="240" w:lineRule="auto"/>
              <w:rPr>
                <w:color w:val="auto"/>
              </w:rPr>
            </w:pPr>
            <w:r>
              <w:rPr>
                <w:rFonts w:ascii="Times New Roman" w:hAnsi="Times New Roman"/>
                <w:b w:val="0"/>
                <w:i w:val="0"/>
                <w:color w:val="auto"/>
                <w:sz w:val="22"/>
              </w:rPr>
              <w:t>Possible</w:t>
            </w:r>
          </w:p>
        </w:tc>
        <w:tc>
          <w:tcPr>
            <w:tcW w:w="2280" w:type="dxa"/>
          </w:tcPr>
          <w:p w14:paraId="70D7014F">
            <w:pPr>
              <w:spacing w:after="0" w:line="240" w:lineRule="auto"/>
              <w:rPr>
                <w:color w:val="auto"/>
              </w:rPr>
            </w:pPr>
            <w:r>
              <w:rPr>
                <w:rFonts w:ascii="Times New Roman" w:hAnsi="Times New Roman"/>
                <w:b w:val="0"/>
                <w:i w:val="0"/>
                <w:color w:val="auto"/>
                <w:sz w:val="22"/>
              </w:rPr>
              <w:t>Natif</w:t>
            </w:r>
          </w:p>
        </w:tc>
      </w:tr>
    </w:tbl>
    <w:p w14:paraId="0991DCCC">
      <w:pPr>
        <w:spacing w:after="120"/>
        <w:ind w:firstLine="567"/>
        <w:jc w:val="both"/>
        <w:rPr>
          <w:color w:val="auto"/>
        </w:rPr>
      </w:pPr>
      <w:r>
        <w:rPr>
          <w:rFonts w:ascii="Times New Roman" w:hAnsi="Times New Roman"/>
          <w:b w:val="0"/>
          <w:i w:val="0"/>
          <w:color w:val="auto"/>
          <w:sz w:val="24"/>
        </w:rPr>
        <w:t>Cette comparaison met en évidence la valeur ajoutée de RecruitPRO pour l'ONCF : une couverture fonctionnelle complète des trois dimensions clés (recrutement, RH, formation), une intégration native par SSO, et une totale adéquation aux besoins spécifiques de l'organisation, pour un coût de déploiement nettement inférieur aux suites commerciales du marché.</w:t>
      </w:r>
    </w:p>
    <w:p w14:paraId="393DED19">
      <w:pPr>
        <w:rPr>
          <w:color w:val="auto"/>
        </w:rPr>
      </w:pPr>
      <w:r>
        <w:rPr>
          <w:color w:val="auto"/>
        </w:rPr>
        <w:br w:type="page"/>
      </w:r>
    </w:p>
    <w:p w14:paraId="62204064">
      <w:pPr>
        <w:pStyle w:val="2"/>
        <w:jc w:val="left"/>
        <w:rPr>
          <w:color w:val="auto"/>
        </w:rPr>
      </w:pPr>
      <w:r>
        <w:rPr>
          <w:rFonts w:ascii="Times New Roman" w:hAnsi="Times New Roman"/>
          <w:color w:val="auto"/>
          <w:sz w:val="32"/>
        </w:rPr>
        <w:t>Chapitre 3 : Analyse et spécification des besoins</w:t>
      </w:r>
    </w:p>
    <w:p w14:paraId="64E19DFE">
      <w:pPr>
        <w:pStyle w:val="3"/>
        <w:jc w:val="left"/>
        <w:rPr>
          <w:color w:val="auto"/>
        </w:rPr>
      </w:pPr>
      <w:r>
        <w:rPr>
          <w:rFonts w:ascii="Times New Roman" w:hAnsi="Times New Roman"/>
          <w:color w:val="auto"/>
          <w:sz w:val="28"/>
        </w:rPr>
        <w:t>3.1 Démarche de recueil des besoins</w:t>
      </w:r>
    </w:p>
    <w:p w14:paraId="67C8E21D">
      <w:pPr>
        <w:spacing w:after="120"/>
        <w:ind w:firstLine="567"/>
        <w:jc w:val="both"/>
        <w:rPr>
          <w:color w:val="auto"/>
        </w:rPr>
      </w:pPr>
      <w:r>
        <w:rPr>
          <w:rFonts w:ascii="Times New Roman" w:hAnsi="Times New Roman"/>
          <w:b w:val="0"/>
          <w:i w:val="0"/>
          <w:color w:val="auto"/>
          <w:sz w:val="24"/>
        </w:rPr>
        <w:t>Le recueil des besoins a été conduit selon une démarche itérative combinant plusieurs méthodes complémentaires. Dans un premier temps, des entretiens semi-directifs ont été menés avec les parties prenantes clés de l'IFDC et de la Direction des Ressources Humaines de l'ONCF. Ces entretiens ont permis de comprendre les processus actuels, d'identifier les points de friction et de recueillir les attentes des futurs utilisateurs de la plateforme.</w:t>
      </w:r>
    </w:p>
    <w:p w14:paraId="0D0286FD">
      <w:pPr>
        <w:spacing w:after="120"/>
        <w:ind w:firstLine="567"/>
        <w:jc w:val="both"/>
        <w:rPr>
          <w:color w:val="auto"/>
        </w:rPr>
      </w:pPr>
      <w:r>
        <w:rPr>
          <w:rFonts w:ascii="Times New Roman" w:hAnsi="Times New Roman"/>
          <w:b w:val="0"/>
          <w:i w:val="0"/>
          <w:color w:val="auto"/>
          <w:sz w:val="24"/>
        </w:rPr>
        <w:t>Dans un deuxième temps, une analyse documentaire a permis d'étudier les référentiels de compétences existants, les procédures de recrutement en vigueur et les plans de formation annuels. Cette analyse a fourni une base factuelle pour la modélisation des données et la définition des règles métier du moteur de matching.</w:t>
      </w:r>
    </w:p>
    <w:p w14:paraId="1AD5AC29">
      <w:pPr>
        <w:spacing w:after="120"/>
        <w:ind w:firstLine="567"/>
        <w:jc w:val="both"/>
        <w:rPr>
          <w:color w:val="auto"/>
        </w:rPr>
      </w:pPr>
      <w:r>
        <w:rPr>
          <w:rFonts w:ascii="Times New Roman" w:hAnsi="Times New Roman"/>
          <w:b w:val="0"/>
          <w:i w:val="0"/>
          <w:color w:val="auto"/>
          <w:sz w:val="24"/>
        </w:rPr>
        <w:t>Enfin, des ateliers de co-conception (design thinking) ont réuni recruteurs, formateurs, responsables RH et représentants du personnel pour valider les prototypes d'interface et affiner les besoins fonctionnels. Cette démarche participative a été essentielle pour s'assurer de l'adéquation de la solution aux pratiques réelles des utilisateurs.</w:t>
      </w:r>
    </w:p>
    <w:p w14:paraId="120489D9">
      <w:pPr>
        <w:pStyle w:val="3"/>
        <w:jc w:val="left"/>
        <w:rPr>
          <w:color w:val="auto"/>
        </w:rPr>
      </w:pPr>
      <w:r>
        <w:rPr>
          <w:rFonts w:ascii="Times New Roman" w:hAnsi="Times New Roman"/>
          <w:color w:val="auto"/>
          <w:sz w:val="28"/>
        </w:rPr>
        <w:t>3.2 Identification des acteurs</w:t>
      </w:r>
    </w:p>
    <w:p w14:paraId="2238A02F">
      <w:pPr>
        <w:spacing w:after="120"/>
        <w:ind w:firstLine="567"/>
        <w:jc w:val="both"/>
        <w:rPr>
          <w:color w:val="auto"/>
        </w:rPr>
      </w:pPr>
      <w:r>
        <w:rPr>
          <w:rFonts w:ascii="Times New Roman" w:hAnsi="Times New Roman"/>
          <w:b w:val="0"/>
          <w:i w:val="0"/>
          <w:color w:val="auto"/>
          <w:sz w:val="24"/>
        </w:rPr>
        <w:t>La plateforme RecruitPRO implique cinq profils d'acteurs distincts, aux besoins et droits d'accès différenciés :</w:t>
      </w:r>
    </w:p>
    <w:tbl>
      <w:tblPr>
        <w:tblStyle w:val="6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06916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41" w:type="dxa"/>
            <w:shd w:val="clear" w:color="auto" w:fill="1F497D"/>
          </w:tcPr>
          <w:p w14:paraId="72B8288E">
            <w:pPr>
              <w:spacing w:after="0" w:line="240" w:lineRule="auto"/>
              <w:jc w:val="center"/>
              <w:rPr>
                <w:color w:val="auto"/>
              </w:rPr>
            </w:pPr>
            <w:r>
              <w:rPr>
                <w:rFonts w:ascii="Times New Roman" w:hAnsi="Times New Roman"/>
                <w:b/>
                <w:i w:val="0"/>
                <w:color w:val="auto"/>
                <w:sz w:val="22"/>
              </w:rPr>
              <w:t>Acteur</w:t>
            </w:r>
          </w:p>
        </w:tc>
        <w:tc>
          <w:tcPr>
            <w:tcW w:w="3041" w:type="dxa"/>
            <w:shd w:val="clear" w:color="auto" w:fill="1F497D"/>
          </w:tcPr>
          <w:p w14:paraId="13A68804">
            <w:pPr>
              <w:spacing w:after="0" w:line="240" w:lineRule="auto"/>
              <w:jc w:val="center"/>
              <w:rPr>
                <w:color w:val="auto"/>
              </w:rPr>
            </w:pPr>
            <w:r>
              <w:rPr>
                <w:rFonts w:ascii="Times New Roman" w:hAnsi="Times New Roman"/>
                <w:b/>
                <w:i w:val="0"/>
                <w:color w:val="auto"/>
                <w:sz w:val="22"/>
              </w:rPr>
              <w:t>Rôle système</w:t>
            </w:r>
          </w:p>
        </w:tc>
        <w:tc>
          <w:tcPr>
            <w:tcW w:w="3041" w:type="dxa"/>
            <w:shd w:val="clear" w:color="auto" w:fill="1F497D"/>
          </w:tcPr>
          <w:p w14:paraId="584A8B62">
            <w:pPr>
              <w:spacing w:after="0" w:line="240" w:lineRule="auto"/>
              <w:jc w:val="center"/>
              <w:rPr>
                <w:color w:val="auto"/>
              </w:rPr>
            </w:pPr>
            <w:r>
              <w:rPr>
                <w:rFonts w:ascii="Times New Roman" w:hAnsi="Times New Roman"/>
                <w:b/>
                <w:i w:val="0"/>
                <w:color w:val="auto"/>
                <w:sz w:val="22"/>
              </w:rPr>
              <w:t>Périmètre d'action</w:t>
            </w:r>
          </w:p>
        </w:tc>
      </w:tr>
      <w:tr w14:paraId="2FF90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63C42099">
            <w:pPr>
              <w:spacing w:after="0" w:line="240" w:lineRule="auto"/>
              <w:rPr>
                <w:color w:val="auto"/>
              </w:rPr>
            </w:pPr>
            <w:r>
              <w:rPr>
                <w:rFonts w:ascii="Times New Roman" w:hAnsi="Times New Roman"/>
                <w:b w:val="0"/>
                <w:i w:val="0"/>
                <w:color w:val="auto"/>
                <w:sz w:val="22"/>
              </w:rPr>
              <w:t>Administrateur système</w:t>
            </w:r>
          </w:p>
        </w:tc>
        <w:tc>
          <w:tcPr>
            <w:tcW w:w="3041" w:type="dxa"/>
          </w:tcPr>
          <w:p w14:paraId="3FE5C793">
            <w:pPr>
              <w:spacing w:after="0" w:line="240" w:lineRule="auto"/>
              <w:rPr>
                <w:color w:val="auto"/>
              </w:rPr>
            </w:pPr>
            <w:r>
              <w:rPr>
                <w:rFonts w:ascii="Times New Roman" w:hAnsi="Times New Roman"/>
                <w:b w:val="0"/>
                <w:i w:val="0"/>
                <w:color w:val="auto"/>
                <w:sz w:val="22"/>
              </w:rPr>
              <w:t>ADMIN</w:t>
            </w:r>
          </w:p>
        </w:tc>
        <w:tc>
          <w:tcPr>
            <w:tcW w:w="3041" w:type="dxa"/>
          </w:tcPr>
          <w:p w14:paraId="25C40364">
            <w:pPr>
              <w:spacing w:after="0" w:line="240" w:lineRule="auto"/>
              <w:rPr>
                <w:color w:val="auto"/>
              </w:rPr>
            </w:pPr>
            <w:r>
              <w:rPr>
                <w:rFonts w:ascii="Times New Roman" w:hAnsi="Times New Roman"/>
                <w:b w:val="0"/>
                <w:i w:val="0"/>
                <w:color w:val="auto"/>
                <w:sz w:val="22"/>
              </w:rPr>
              <w:t>Gestion de l'ensemble de la plateforme, de tous les tenants, de tous les utilisateurs</w:t>
            </w:r>
          </w:p>
        </w:tc>
      </w:tr>
      <w:tr w14:paraId="29A9F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70FEEE77">
            <w:pPr>
              <w:spacing w:after="0" w:line="240" w:lineRule="auto"/>
              <w:rPr>
                <w:color w:val="auto"/>
              </w:rPr>
            </w:pPr>
            <w:r>
              <w:rPr>
                <w:rFonts w:ascii="Times New Roman" w:hAnsi="Times New Roman"/>
                <w:b w:val="0"/>
                <w:i w:val="0"/>
                <w:color w:val="auto"/>
                <w:sz w:val="22"/>
              </w:rPr>
              <w:t>Recruteur / DRH</w:t>
            </w:r>
          </w:p>
        </w:tc>
        <w:tc>
          <w:tcPr>
            <w:tcW w:w="3041" w:type="dxa"/>
          </w:tcPr>
          <w:p w14:paraId="60A6D42F">
            <w:pPr>
              <w:spacing w:after="0" w:line="240" w:lineRule="auto"/>
              <w:rPr>
                <w:color w:val="auto"/>
              </w:rPr>
            </w:pPr>
            <w:r>
              <w:rPr>
                <w:rFonts w:ascii="Times New Roman" w:hAnsi="Times New Roman"/>
                <w:b w:val="0"/>
                <w:i w:val="0"/>
                <w:color w:val="auto"/>
                <w:sz w:val="22"/>
              </w:rPr>
              <w:t>RECRUITER</w:t>
            </w:r>
          </w:p>
        </w:tc>
        <w:tc>
          <w:tcPr>
            <w:tcW w:w="3041" w:type="dxa"/>
          </w:tcPr>
          <w:p w14:paraId="4937C64C">
            <w:pPr>
              <w:spacing w:after="0" w:line="240" w:lineRule="auto"/>
              <w:rPr>
                <w:color w:val="auto"/>
              </w:rPr>
            </w:pPr>
            <w:r>
              <w:rPr>
                <w:rFonts w:ascii="Times New Roman" w:hAnsi="Times New Roman"/>
                <w:b w:val="0"/>
                <w:i w:val="0"/>
                <w:color w:val="auto"/>
                <w:sz w:val="22"/>
              </w:rPr>
              <w:t>Gestion des offres, des candidatures, des employés et des formations de son entreprise/entité</w:t>
            </w:r>
          </w:p>
        </w:tc>
      </w:tr>
      <w:tr w14:paraId="34295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34F4A181">
            <w:pPr>
              <w:spacing w:after="0" w:line="240" w:lineRule="auto"/>
              <w:rPr>
                <w:color w:val="auto"/>
              </w:rPr>
            </w:pPr>
            <w:r>
              <w:rPr>
                <w:rFonts w:ascii="Times New Roman" w:hAnsi="Times New Roman"/>
                <w:b w:val="0"/>
                <w:i w:val="0"/>
                <w:color w:val="auto"/>
                <w:sz w:val="22"/>
              </w:rPr>
              <w:t>Candidat externe</w:t>
            </w:r>
          </w:p>
        </w:tc>
        <w:tc>
          <w:tcPr>
            <w:tcW w:w="3041" w:type="dxa"/>
          </w:tcPr>
          <w:p w14:paraId="13E3EBB3">
            <w:pPr>
              <w:spacing w:after="0" w:line="240" w:lineRule="auto"/>
              <w:rPr>
                <w:color w:val="auto"/>
              </w:rPr>
            </w:pPr>
            <w:r>
              <w:rPr>
                <w:rFonts w:ascii="Times New Roman" w:hAnsi="Times New Roman"/>
                <w:b w:val="0"/>
                <w:i w:val="0"/>
                <w:color w:val="auto"/>
                <w:sz w:val="22"/>
              </w:rPr>
              <w:t>CANDIDATE</w:t>
            </w:r>
          </w:p>
        </w:tc>
        <w:tc>
          <w:tcPr>
            <w:tcW w:w="3041" w:type="dxa"/>
          </w:tcPr>
          <w:p w14:paraId="628373DE">
            <w:pPr>
              <w:spacing w:after="0" w:line="240" w:lineRule="auto"/>
              <w:rPr>
                <w:color w:val="auto"/>
              </w:rPr>
            </w:pPr>
            <w:r>
              <w:rPr>
                <w:rFonts w:ascii="Times New Roman" w:hAnsi="Times New Roman"/>
                <w:b w:val="0"/>
                <w:i w:val="0"/>
                <w:color w:val="auto"/>
                <w:sz w:val="22"/>
              </w:rPr>
              <w:t>Création de profil, candidature aux offres, suivi de ses candidatures</w:t>
            </w:r>
          </w:p>
        </w:tc>
      </w:tr>
      <w:tr w14:paraId="47AD0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1645A05F">
            <w:pPr>
              <w:spacing w:after="0" w:line="240" w:lineRule="auto"/>
              <w:rPr>
                <w:color w:val="auto"/>
              </w:rPr>
            </w:pPr>
            <w:r>
              <w:rPr>
                <w:rFonts w:ascii="Times New Roman" w:hAnsi="Times New Roman"/>
                <w:b w:val="0"/>
                <w:i w:val="0"/>
                <w:color w:val="auto"/>
                <w:sz w:val="22"/>
              </w:rPr>
              <w:t>Employé</w:t>
            </w:r>
          </w:p>
        </w:tc>
        <w:tc>
          <w:tcPr>
            <w:tcW w:w="3041" w:type="dxa"/>
          </w:tcPr>
          <w:p w14:paraId="54DA1C97">
            <w:pPr>
              <w:spacing w:after="0" w:line="240" w:lineRule="auto"/>
              <w:rPr>
                <w:color w:val="auto"/>
              </w:rPr>
            </w:pPr>
            <w:r>
              <w:rPr>
                <w:rFonts w:ascii="Times New Roman" w:hAnsi="Times New Roman"/>
                <w:b w:val="0"/>
                <w:i w:val="0"/>
                <w:color w:val="auto"/>
                <w:sz w:val="22"/>
              </w:rPr>
              <w:t>EMPLOYEE</w:t>
            </w:r>
          </w:p>
        </w:tc>
        <w:tc>
          <w:tcPr>
            <w:tcW w:w="3041" w:type="dxa"/>
          </w:tcPr>
          <w:p w14:paraId="2EBD3E41">
            <w:pPr>
              <w:spacing w:after="0" w:line="240" w:lineRule="auto"/>
              <w:rPr>
                <w:color w:val="auto"/>
              </w:rPr>
            </w:pPr>
            <w:r>
              <w:rPr>
                <w:rFonts w:ascii="Times New Roman" w:hAnsi="Times New Roman"/>
                <w:b w:val="0"/>
                <w:i w:val="0"/>
                <w:color w:val="auto"/>
                <w:sz w:val="22"/>
              </w:rPr>
              <w:t>Consultation de l'organigramme, candidature aux postes internes, suivi des formations assignées, mise à jour du profil</w:t>
            </w:r>
          </w:p>
        </w:tc>
      </w:tr>
      <w:tr w14:paraId="005FC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0C169B88">
            <w:pPr>
              <w:spacing w:after="0" w:line="240" w:lineRule="auto"/>
              <w:rPr>
                <w:color w:val="auto"/>
              </w:rPr>
            </w:pPr>
            <w:r>
              <w:rPr>
                <w:rFonts w:ascii="Times New Roman" w:hAnsi="Times New Roman"/>
                <w:b w:val="0"/>
                <w:i w:val="0"/>
                <w:color w:val="auto"/>
                <w:sz w:val="22"/>
              </w:rPr>
              <w:t>Formateur LMS</w:t>
            </w:r>
          </w:p>
        </w:tc>
        <w:tc>
          <w:tcPr>
            <w:tcW w:w="3041" w:type="dxa"/>
          </w:tcPr>
          <w:p w14:paraId="1D46EF0F">
            <w:pPr>
              <w:spacing w:after="0" w:line="240" w:lineRule="auto"/>
              <w:rPr>
                <w:color w:val="auto"/>
              </w:rPr>
            </w:pPr>
            <w:r>
              <w:rPr>
                <w:rFonts w:ascii="Times New Roman" w:hAnsi="Times New Roman"/>
                <w:b w:val="0"/>
                <w:i w:val="0"/>
                <w:color w:val="auto"/>
                <w:sz w:val="22"/>
              </w:rPr>
              <w:t>Instructor (LMS)</w:t>
            </w:r>
          </w:p>
        </w:tc>
        <w:tc>
          <w:tcPr>
            <w:tcW w:w="3041" w:type="dxa"/>
          </w:tcPr>
          <w:p w14:paraId="23AD0C7F">
            <w:pPr>
              <w:spacing w:after="0" w:line="240" w:lineRule="auto"/>
              <w:rPr>
                <w:color w:val="auto"/>
              </w:rPr>
            </w:pPr>
            <w:r>
              <w:rPr>
                <w:rFonts w:ascii="Times New Roman" w:hAnsi="Times New Roman"/>
                <w:b w:val="0"/>
                <w:i w:val="0"/>
                <w:color w:val="auto"/>
                <w:sz w:val="22"/>
              </w:rPr>
              <w:t>Création et gestion de cours, modules, quiz et suivi des apprenants dans le LMS</w:t>
            </w:r>
          </w:p>
        </w:tc>
      </w:tr>
    </w:tbl>
    <w:p w14:paraId="13BF0C62">
      <w:pPr>
        <w:spacing w:after="120"/>
        <w:ind w:firstLine="567"/>
        <w:jc w:val="both"/>
        <w:rPr>
          <w:color w:val="auto"/>
        </w:rPr>
      </w:pPr>
      <w:r>
        <w:rPr>
          <w:rFonts w:ascii="Times New Roman" w:hAnsi="Times New Roman"/>
          <w:b w:val="0"/>
          <w:i w:val="0"/>
          <w:color w:val="auto"/>
          <w:sz w:val="24"/>
        </w:rPr>
        <w:t>Il convient de noter que ces rôles ne sont pas mutuellement exclusifs sur le plan organisationnel : un recruteur de l'ONCF peut également être un apprenant dans le LMS ; un candidat recruté devient automatiquement un employé et son profil est transféré sans rupture. Cette continuité est l'une des exigences clés que la plateforme devait satisfaire.</w:t>
      </w:r>
    </w:p>
    <w:p w14:paraId="7AD556C1">
      <w:pPr>
        <w:pStyle w:val="3"/>
        <w:jc w:val="left"/>
        <w:rPr>
          <w:rFonts w:ascii="Times New Roman" w:hAnsi="Times New Roman"/>
          <w:color w:val="auto"/>
          <w:sz w:val="28"/>
        </w:rPr>
      </w:pPr>
      <w:r>
        <w:rPr>
          <w:rFonts w:ascii="Times New Roman" w:hAnsi="Times New Roman"/>
          <w:color w:val="auto"/>
          <w:sz w:val="28"/>
        </w:rPr>
        <w:t>3.3 Besoins fonctionnels</w:t>
      </w:r>
    </w:p>
    <w:p w14:paraId="638A406C">
      <w:pPr>
        <w:pStyle w:val="24"/>
        <w:keepNext w:val="0"/>
        <w:keepLines w:val="0"/>
        <w:widowControl/>
        <w:suppressLineNumbers w:val="0"/>
        <w:rPr>
          <w:color w:val="auto"/>
        </w:rPr>
      </w:pPr>
      <w:r>
        <w:rPr>
          <w:color w:val="auto"/>
        </w:rPr>
        <w:t>Les besoins fonctionnels ont été structurés autour des trois modules principaux de la plateforme, en cohérence avec les objectifs de l’ingénierie des compétences et de la GPEC.</w:t>
      </w:r>
    </w:p>
    <w:p w14:paraId="77A9B2C9">
      <w:pPr>
        <w:pStyle w:val="4"/>
        <w:rPr>
          <w:color w:val="auto"/>
        </w:rPr>
      </w:pPr>
      <w:r>
        <w:rPr>
          <w:rFonts w:ascii="Times New Roman" w:hAnsi="Times New Roman"/>
          <w:b/>
          <w:color w:val="auto"/>
          <w:sz w:val="24"/>
        </w:rPr>
        <w:t>3.3.1 Module ATS – Recrutement externe</w:t>
      </w:r>
    </w:p>
    <w:p w14:paraId="444B001F">
      <w:pPr>
        <w:pStyle w:val="34"/>
        <w:ind w:left="567"/>
        <w:rPr>
          <w:color w:val="auto"/>
        </w:rPr>
      </w:pPr>
      <w:r>
        <w:rPr>
          <w:rFonts w:ascii="Times New Roman" w:hAnsi="Times New Roman"/>
          <w:b w:val="0"/>
          <w:i w:val="0"/>
          <w:color w:val="auto"/>
          <w:sz w:val="24"/>
        </w:rPr>
        <w:t>BF-01 : Le recruteur doit pouvoir créer, publier et gérer des offres d'emploi avec description des compétences requises (obligatoires/optionnelles) et niveaux d'exigence.</w:t>
      </w:r>
    </w:p>
    <w:p w14:paraId="779BEDD4">
      <w:pPr>
        <w:pStyle w:val="34"/>
        <w:ind w:left="567"/>
        <w:rPr>
          <w:color w:val="auto"/>
        </w:rPr>
      </w:pPr>
      <w:r>
        <w:rPr>
          <w:rFonts w:ascii="Times New Roman" w:hAnsi="Times New Roman"/>
          <w:b w:val="0"/>
          <w:i w:val="0"/>
          <w:color w:val="auto"/>
          <w:sz w:val="24"/>
        </w:rPr>
        <w:t>BF-02 :</w:t>
      </w:r>
      <w:r>
        <w:rPr>
          <w:rFonts w:hint="default" w:ascii="Times New Roman" w:hAnsi="Times New Roman"/>
          <w:b w:val="0"/>
          <w:i w:val="0"/>
          <w:color w:val="auto"/>
          <w:sz w:val="24"/>
          <w:lang w:val="fr-FR"/>
        </w:rPr>
        <w:t xml:space="preserve"> </w:t>
      </w:r>
      <w:r>
        <w:rPr>
          <w:rFonts w:ascii="Times New Roman" w:hAnsi="Times New Roman"/>
          <w:b w:val="0"/>
          <w:i w:val="0"/>
          <w:color w:val="auto"/>
          <w:sz w:val="24"/>
        </w:rPr>
        <w:t xml:space="preserve"> </w:t>
      </w:r>
      <w:r>
        <w:rPr>
          <w:rFonts w:hint="default" w:ascii="Times New Roman" w:hAnsi="Times New Roman"/>
          <w:b w:val="0"/>
          <w:i w:val="0"/>
          <w:color w:val="auto"/>
          <w:sz w:val="24"/>
          <w:lang w:val="fr-FR"/>
        </w:rPr>
        <w:t xml:space="preserve">Offrir aux candidats un onboarding guidé pour construire un profil structuré </w:t>
      </w:r>
      <w:r>
        <w:rPr>
          <w:rFonts w:ascii="Times New Roman" w:hAnsi="Times New Roman"/>
          <w:b w:val="0"/>
          <w:i w:val="0"/>
          <w:color w:val="auto"/>
          <w:sz w:val="24"/>
        </w:rPr>
        <w:t>(bio, formation, expérience, compétences, CV) et postuler aux offres publiées.</w:t>
      </w:r>
    </w:p>
    <w:p w14:paraId="778D70DA">
      <w:pPr>
        <w:pStyle w:val="34"/>
        <w:ind w:left="567"/>
        <w:rPr>
          <w:color w:val="auto"/>
        </w:rPr>
      </w:pPr>
      <w:r>
        <w:rPr>
          <w:rFonts w:ascii="Times New Roman" w:hAnsi="Times New Roman"/>
          <w:b w:val="0"/>
          <w:i w:val="0"/>
          <w:color w:val="auto"/>
          <w:sz w:val="24"/>
        </w:rPr>
        <w:t>BF-03 : Le recruteur doit pouvoir inviter des candidats à postuler à une offre (recrutement actif).</w:t>
      </w:r>
    </w:p>
    <w:p w14:paraId="4ABD7F60">
      <w:pPr>
        <w:pStyle w:val="34"/>
        <w:ind w:left="567"/>
        <w:rPr>
          <w:color w:val="auto"/>
        </w:rPr>
      </w:pPr>
      <w:r>
        <w:rPr>
          <w:rFonts w:ascii="Times New Roman" w:hAnsi="Times New Roman"/>
          <w:b w:val="0"/>
          <w:i w:val="0"/>
          <w:color w:val="auto"/>
          <w:sz w:val="24"/>
        </w:rPr>
        <w:t>BF-04 : Le système doit calculer automatiquement un score de matching (fit et potentiel) pour chaque couple candidat/offre, en expliquant les composantes du score.</w:t>
      </w:r>
    </w:p>
    <w:p w14:paraId="52519631">
      <w:pPr>
        <w:pStyle w:val="34"/>
        <w:ind w:left="567"/>
        <w:rPr>
          <w:color w:val="auto"/>
        </w:rPr>
      </w:pPr>
      <w:r>
        <w:rPr>
          <w:rFonts w:ascii="Times New Roman" w:hAnsi="Times New Roman"/>
          <w:b w:val="0"/>
          <w:i w:val="0"/>
          <w:color w:val="auto"/>
          <w:sz w:val="24"/>
        </w:rPr>
        <w:t>BF-05 : Le recruteur doit disposer d'un tableau de bord Kanban pour suivre l'avancement des candidatures selon leur statut (En attente, En cours, Entretien, Accepté, Refusé).</w:t>
      </w:r>
    </w:p>
    <w:p w14:paraId="25A4B55D">
      <w:pPr>
        <w:pStyle w:val="34"/>
        <w:ind w:left="567"/>
        <w:rPr>
          <w:color w:val="auto"/>
        </w:rPr>
      </w:pPr>
      <w:r>
        <w:rPr>
          <w:rFonts w:ascii="Times New Roman" w:hAnsi="Times New Roman"/>
          <w:b w:val="0"/>
          <w:i w:val="0"/>
          <w:color w:val="auto"/>
          <w:sz w:val="24"/>
        </w:rPr>
        <w:t>BF-06 : Lors de l'acceptation d'un candidat, le système doit automatiquement créer son profil employé et transférer l'ensemble de ses données de profil (compétences, formations, expérience, CV).</w:t>
      </w:r>
    </w:p>
    <w:p w14:paraId="1205FAA8">
      <w:pPr>
        <w:pStyle w:val="34"/>
        <w:ind w:left="567"/>
        <w:rPr>
          <w:color w:val="auto"/>
        </w:rPr>
      </w:pPr>
      <w:r>
        <w:rPr>
          <w:rFonts w:ascii="Times New Roman" w:hAnsi="Times New Roman"/>
          <w:b w:val="0"/>
          <w:i w:val="0"/>
          <w:color w:val="auto"/>
          <w:sz w:val="24"/>
        </w:rPr>
        <w:t>BF-07 : Le candidat recruté doit être automatiquement redirigé vers l'espace employé lors de sa prochaine connexion.</w:t>
      </w:r>
    </w:p>
    <w:p w14:paraId="02095F63">
      <w:pPr>
        <w:pStyle w:val="4"/>
        <w:rPr>
          <w:color w:val="auto"/>
        </w:rPr>
      </w:pPr>
      <w:r>
        <w:rPr>
          <w:rFonts w:ascii="Times New Roman" w:hAnsi="Times New Roman"/>
          <w:b/>
          <w:color w:val="auto"/>
          <w:sz w:val="24"/>
        </w:rPr>
        <w:t>3.3.2 Module RH – Espace employé</w:t>
      </w:r>
    </w:p>
    <w:p w14:paraId="07D27171">
      <w:pPr>
        <w:pStyle w:val="34"/>
        <w:ind w:left="567"/>
        <w:rPr>
          <w:color w:val="auto"/>
        </w:rPr>
      </w:pPr>
      <w:r>
        <w:rPr>
          <w:rFonts w:ascii="Times New Roman" w:hAnsi="Times New Roman"/>
          <w:b w:val="0"/>
          <w:i w:val="0"/>
          <w:color w:val="auto"/>
          <w:sz w:val="24"/>
        </w:rPr>
        <w:t>BF-08 : L'employé doit pouvoir consulter et mettre à jour son profil professionnel (compétences, formations, expériences, certifications).</w:t>
      </w:r>
    </w:p>
    <w:p w14:paraId="03ADCFEA">
      <w:pPr>
        <w:pStyle w:val="34"/>
        <w:ind w:left="567"/>
        <w:rPr>
          <w:color w:val="auto"/>
        </w:rPr>
      </w:pPr>
      <w:r>
        <w:rPr>
          <w:rFonts w:ascii="Times New Roman" w:hAnsi="Times New Roman"/>
          <w:b w:val="0"/>
          <w:i w:val="0"/>
          <w:color w:val="auto"/>
          <w:sz w:val="24"/>
        </w:rPr>
        <w:t>BF-09 : Le recruteur/DRH doit pouvoir gérer l'organigramme de l'organisation (unités, sous-unités, rattachement des employés).</w:t>
      </w:r>
    </w:p>
    <w:p w14:paraId="6B1981BC">
      <w:pPr>
        <w:pStyle w:val="34"/>
        <w:ind w:left="567"/>
        <w:rPr>
          <w:color w:val="auto"/>
        </w:rPr>
      </w:pPr>
      <w:r>
        <w:rPr>
          <w:rFonts w:ascii="Times New Roman" w:hAnsi="Times New Roman"/>
          <w:b w:val="0"/>
          <w:i w:val="0"/>
          <w:color w:val="auto"/>
          <w:sz w:val="24"/>
        </w:rPr>
        <w:t>BF-10 : Le système doit permettre la définition de rôles internes (avec permissions granulaires) et leur assignation aux employés.</w:t>
      </w:r>
    </w:p>
    <w:p w14:paraId="5DAFD7A4">
      <w:pPr>
        <w:pStyle w:val="34"/>
        <w:ind w:left="567"/>
        <w:rPr>
          <w:color w:val="auto"/>
        </w:rPr>
      </w:pPr>
      <w:r>
        <w:rPr>
          <w:rFonts w:ascii="Times New Roman" w:hAnsi="Times New Roman"/>
          <w:b w:val="0"/>
          <w:i w:val="0"/>
          <w:color w:val="auto"/>
          <w:sz w:val="24"/>
        </w:rPr>
        <w:t>BF-11 : Le recruteur/DRH doit pouvoir créer des postes de mobilité interne et gérer les candidatures internes avec un processus de sélection.</w:t>
      </w:r>
    </w:p>
    <w:p w14:paraId="7424762E">
      <w:pPr>
        <w:pStyle w:val="34"/>
        <w:ind w:left="567"/>
        <w:rPr>
          <w:color w:val="auto"/>
        </w:rPr>
      </w:pPr>
      <w:r>
        <w:rPr>
          <w:rFonts w:ascii="Times New Roman" w:hAnsi="Times New Roman"/>
          <w:b w:val="0"/>
          <w:i w:val="0"/>
          <w:color w:val="auto"/>
          <w:sz w:val="24"/>
        </w:rPr>
        <w:t>BF-12 : L'employé doit pouvoir postuler aux postes de mobilité interne et suivre l'état de sa candidature.</w:t>
      </w:r>
    </w:p>
    <w:p w14:paraId="4A6238CE">
      <w:pPr>
        <w:pStyle w:val="34"/>
        <w:ind w:left="567"/>
        <w:rPr>
          <w:color w:val="auto"/>
        </w:rPr>
      </w:pPr>
      <w:r>
        <w:rPr>
          <w:rFonts w:ascii="Times New Roman" w:hAnsi="Times New Roman"/>
          <w:b w:val="0"/>
          <w:i w:val="0"/>
          <w:color w:val="auto"/>
          <w:sz w:val="24"/>
        </w:rPr>
        <w:t>BF-13 : Le système doit proposer un matching entre le profil de l'employé et les postes de mobilité disponibles.</w:t>
      </w:r>
    </w:p>
    <w:p w14:paraId="4B5B4EF8">
      <w:pPr>
        <w:pStyle w:val="4"/>
        <w:rPr>
          <w:color w:val="auto"/>
        </w:rPr>
      </w:pPr>
      <w:r>
        <w:rPr>
          <w:rFonts w:ascii="Times New Roman" w:hAnsi="Times New Roman"/>
          <w:b/>
          <w:color w:val="auto"/>
          <w:sz w:val="24"/>
        </w:rPr>
        <w:t>3.3.3 Module LMS – Formation</w:t>
      </w:r>
    </w:p>
    <w:p w14:paraId="20788040">
      <w:pPr>
        <w:pStyle w:val="34"/>
        <w:ind w:left="567"/>
        <w:rPr>
          <w:color w:val="auto"/>
        </w:rPr>
      </w:pPr>
      <w:r>
        <w:rPr>
          <w:rFonts w:ascii="Times New Roman" w:hAnsi="Times New Roman"/>
          <w:b w:val="0"/>
          <w:i w:val="0"/>
          <w:color w:val="auto"/>
          <w:sz w:val="24"/>
        </w:rPr>
        <w:t>BF-14 : Le formateur doit pouvoir créer des cours structurés en modules et sections, avec du contenu textuel, vidéo et des quiz.</w:t>
      </w:r>
    </w:p>
    <w:p w14:paraId="049B27EF">
      <w:pPr>
        <w:pStyle w:val="34"/>
        <w:ind w:left="567"/>
        <w:rPr>
          <w:color w:val="auto"/>
        </w:rPr>
      </w:pPr>
      <w:r>
        <w:rPr>
          <w:rFonts w:ascii="Times New Roman" w:hAnsi="Times New Roman"/>
          <w:b w:val="0"/>
          <w:i w:val="0"/>
          <w:color w:val="auto"/>
          <w:sz w:val="24"/>
        </w:rPr>
        <w:t>BF-15 : Le recruteur/DRH doit pouvoir assigner des formations aux employés depuis l'espace RH.</w:t>
      </w:r>
    </w:p>
    <w:p w14:paraId="09AA8F23">
      <w:pPr>
        <w:pStyle w:val="34"/>
        <w:ind w:left="567"/>
        <w:rPr>
          <w:color w:val="auto"/>
        </w:rPr>
      </w:pPr>
      <w:r>
        <w:rPr>
          <w:rFonts w:ascii="Times New Roman" w:hAnsi="Times New Roman"/>
          <w:b w:val="0"/>
          <w:i w:val="0"/>
          <w:color w:val="auto"/>
          <w:sz w:val="24"/>
        </w:rPr>
        <w:t>BF-16 : L'employé doit pouvoir s'inscrire aux formations disponibles dans le catalogue et suivre sa progression.</w:t>
      </w:r>
    </w:p>
    <w:p w14:paraId="38E4EB6F">
      <w:pPr>
        <w:pStyle w:val="34"/>
        <w:ind w:left="567"/>
        <w:rPr>
          <w:color w:val="auto"/>
        </w:rPr>
      </w:pPr>
      <w:r>
        <w:rPr>
          <w:rFonts w:ascii="Times New Roman" w:hAnsi="Times New Roman"/>
          <w:b w:val="0"/>
          <w:i w:val="0"/>
          <w:color w:val="auto"/>
          <w:sz w:val="24"/>
        </w:rPr>
        <w:t>BF-17 : À la complétion d'un cours, le système doit automatiquement mettre à jour le niveau de compétence correspondant dans le profil du candidat/employé.</w:t>
      </w:r>
    </w:p>
    <w:p w14:paraId="6E7943AB">
      <w:pPr>
        <w:pStyle w:val="34"/>
        <w:ind w:left="567"/>
        <w:rPr>
          <w:color w:val="auto"/>
        </w:rPr>
      </w:pPr>
      <w:r>
        <w:rPr>
          <w:rFonts w:ascii="Times New Roman" w:hAnsi="Times New Roman"/>
          <w:b w:val="0"/>
          <w:i w:val="0"/>
          <w:color w:val="auto"/>
          <w:sz w:val="24"/>
        </w:rPr>
        <w:t>BF-18 : L'accès au LMS doit s'effectuer sans nouvelle authentification (SSO) depuis l'espace RH.</w:t>
      </w:r>
    </w:p>
    <w:p w14:paraId="57A96258">
      <w:pPr>
        <w:pStyle w:val="3"/>
        <w:jc w:val="left"/>
        <w:rPr>
          <w:color w:val="auto"/>
        </w:rPr>
      </w:pPr>
      <w:r>
        <w:rPr>
          <w:rFonts w:ascii="Times New Roman" w:hAnsi="Times New Roman"/>
          <w:color w:val="auto"/>
          <w:sz w:val="28"/>
        </w:rPr>
        <w:t>3.4 Besoins non fonctionnels</w:t>
      </w:r>
    </w:p>
    <w:p w14:paraId="39742376">
      <w:pPr>
        <w:pStyle w:val="34"/>
        <w:ind w:left="567"/>
        <w:rPr>
          <w:color w:val="auto"/>
        </w:rPr>
      </w:pPr>
      <w:r>
        <w:rPr>
          <w:rFonts w:ascii="Times New Roman" w:hAnsi="Times New Roman"/>
          <w:b w:val="0"/>
          <w:i w:val="0"/>
          <w:color w:val="auto"/>
          <w:sz w:val="24"/>
        </w:rPr>
        <w:t>BNF-01 – Performance : les endpoints API doivent répondre en moins de 500 ms pour 95% des requêtes sous une charge de 100 utilisateurs simultanés.</w:t>
      </w:r>
    </w:p>
    <w:p w14:paraId="7EF48CBC">
      <w:pPr>
        <w:pStyle w:val="34"/>
        <w:ind w:left="567"/>
        <w:rPr>
          <w:color w:val="auto"/>
        </w:rPr>
      </w:pPr>
      <w:r>
        <w:rPr>
          <w:rFonts w:ascii="Times New Roman" w:hAnsi="Times New Roman"/>
          <w:b w:val="0"/>
          <w:i w:val="0"/>
          <w:color w:val="auto"/>
          <w:sz w:val="24"/>
        </w:rPr>
        <w:t>BNF-02 – Sécurité : toutes les communications doivent être sécurisées par JWT (HS256) ; les mots de passe doivent être hachés (bcrypt) ; l'isolation des données entre tenant doit être garantie au niveau applicatif.</w:t>
      </w:r>
    </w:p>
    <w:p w14:paraId="2D9E1EBB">
      <w:pPr>
        <w:pStyle w:val="34"/>
        <w:ind w:left="567"/>
        <w:rPr>
          <w:color w:val="auto"/>
        </w:rPr>
      </w:pPr>
      <w:r>
        <w:rPr>
          <w:rFonts w:ascii="Times New Roman" w:hAnsi="Times New Roman"/>
          <w:b w:val="0"/>
          <w:i w:val="0"/>
          <w:color w:val="auto"/>
          <w:sz w:val="24"/>
        </w:rPr>
        <w:t>BNF-03 – Disponibilité : la plateforme doit viser une disponibilité de 99,5% en heures ouvrées.</w:t>
      </w:r>
    </w:p>
    <w:p w14:paraId="620EFD2F">
      <w:pPr>
        <w:pStyle w:val="34"/>
        <w:ind w:left="567"/>
        <w:rPr>
          <w:color w:val="auto"/>
        </w:rPr>
      </w:pPr>
      <w:r>
        <w:rPr>
          <w:rFonts w:ascii="Times New Roman" w:hAnsi="Times New Roman"/>
          <w:b w:val="0"/>
          <w:i w:val="0"/>
          <w:color w:val="auto"/>
          <w:sz w:val="24"/>
        </w:rPr>
        <w:t>BNF-04 – Maintenabilité : l'architecture doit être modulaire pour permettre l'ajout de nouvelles fonctionnalités sans refactoring majeur ; les migrations de base de données doivent être versionnées.</w:t>
      </w:r>
    </w:p>
    <w:p w14:paraId="03243277">
      <w:pPr>
        <w:pStyle w:val="34"/>
        <w:ind w:left="567"/>
        <w:rPr>
          <w:color w:val="auto"/>
        </w:rPr>
      </w:pPr>
      <w:r>
        <w:rPr>
          <w:rFonts w:ascii="Times New Roman" w:hAnsi="Times New Roman"/>
          <w:b w:val="0"/>
          <w:i w:val="0"/>
          <w:color w:val="auto"/>
          <w:sz w:val="24"/>
        </w:rPr>
        <w:t>BNF-05 – Utilisabilité : l'interface doit être responsive (adaptée aux écrans de bureau et tablettes) ; les parcours utilisateurs clés doivent être accessibles en moins de 3 clics.</w:t>
      </w:r>
    </w:p>
    <w:p w14:paraId="3142B4DF">
      <w:pPr>
        <w:pStyle w:val="34"/>
        <w:ind w:left="567"/>
        <w:rPr>
          <w:color w:val="auto"/>
        </w:rPr>
      </w:pPr>
      <w:r>
        <w:rPr>
          <w:rFonts w:ascii="Times New Roman" w:hAnsi="Times New Roman"/>
          <w:b w:val="0"/>
          <w:i w:val="0"/>
          <w:color w:val="auto"/>
          <w:sz w:val="24"/>
        </w:rPr>
        <w:t xml:space="preserve">BNF-06 – </w:t>
      </w:r>
      <w:r>
        <w:rPr>
          <w:rFonts w:hint="default" w:ascii="Times New Roman" w:hAnsi="Times New Roman"/>
          <w:b w:val="0"/>
          <w:i w:val="0"/>
          <w:color w:val="auto"/>
          <w:sz w:val="24"/>
          <w:lang w:val="fr-FR"/>
        </w:rPr>
        <w:t>Evolutivité</w:t>
      </w:r>
      <w:r>
        <w:rPr>
          <w:rFonts w:ascii="Times New Roman" w:hAnsi="Times New Roman"/>
          <w:b w:val="0"/>
          <w:i w:val="0"/>
          <w:color w:val="auto"/>
          <w:sz w:val="24"/>
        </w:rPr>
        <w:t xml:space="preserve">: </w:t>
      </w:r>
      <w:r>
        <w:rPr>
          <w:rFonts w:hint="default" w:ascii="Times New Roman" w:hAnsi="Times New Roman"/>
          <w:b w:val="0"/>
          <w:i w:val="0"/>
          <w:color w:val="auto"/>
          <w:sz w:val="24"/>
          <w:lang w:val="fr-FR"/>
        </w:rPr>
        <w:t>Architecture modulaire permettant d’intégrer de nouvelles fonctionnalités(NLP,analytics prédictifs...)</w:t>
      </w:r>
      <w:r>
        <w:rPr>
          <w:rFonts w:ascii="Times New Roman" w:hAnsi="Times New Roman"/>
          <w:b w:val="0"/>
          <w:i w:val="0"/>
          <w:color w:val="auto"/>
          <w:sz w:val="24"/>
        </w:rPr>
        <w:t>.</w:t>
      </w:r>
    </w:p>
    <w:p w14:paraId="60C02E2A">
      <w:pPr>
        <w:pStyle w:val="3"/>
        <w:jc w:val="left"/>
        <w:rPr>
          <w:color w:val="auto"/>
        </w:rPr>
      </w:pPr>
      <w:r>
        <w:rPr>
          <w:rFonts w:ascii="Times New Roman" w:hAnsi="Times New Roman"/>
          <w:color w:val="auto"/>
          <w:sz w:val="28"/>
        </w:rPr>
        <w:t>3.5 Diagrammes des cas d'utilisation</w:t>
      </w:r>
    </w:p>
    <w:p w14:paraId="29B00B6B">
      <w:pPr>
        <w:spacing w:after="120"/>
        <w:ind w:firstLine="567"/>
        <w:jc w:val="both"/>
        <w:rPr>
          <w:color w:val="auto"/>
        </w:rPr>
      </w:pPr>
      <w:r>
        <w:rPr>
          <w:rFonts w:ascii="Times New Roman" w:hAnsi="Times New Roman"/>
          <w:b w:val="0"/>
          <w:i w:val="0"/>
          <w:color w:val="auto"/>
          <w:sz w:val="24"/>
        </w:rPr>
        <w:t>[INSÉRER ICI : diagramme UML des cas d'utilisation général (tous acteurs) et les diagrammes détaillés par module (ATS, RH, LMS). Ces diagrammes peuvent être générés avec PlantUML, Lucidchart ou StarUML et insérés en tant qu'images dans ce document.]</w:t>
      </w:r>
    </w:p>
    <w:p w14:paraId="075A78DA">
      <w:pPr>
        <w:jc w:val="both"/>
        <w:rPr>
          <w:color w:val="auto"/>
        </w:rPr>
      </w:pPr>
      <w:r>
        <w:rPr>
          <w:rFonts w:ascii="Times New Roman" w:hAnsi="Times New Roman"/>
          <w:b w:val="0"/>
          <w:i/>
          <w:color w:val="auto"/>
          <w:sz w:val="22"/>
        </w:rPr>
        <w:t>Note : Les principaux cas d'utilisation identifiés sont : (1) S'authentifier, (2) Gérer son profil, (3) Publier une offre, (4) Postuler à une offre, (5) Évaluer un candidat, (6) Accepter/refuser un candidat, (7) Consulter l'organigramme, (8) Postuler à un poste interne, (9) Suivre une formation, (10) Consulter le tableau de bord RH.</w:t>
      </w:r>
    </w:p>
    <w:p w14:paraId="48F5B0CD">
      <w:pPr>
        <w:rPr>
          <w:color w:val="auto"/>
        </w:rPr>
      </w:pPr>
      <w:r>
        <w:rPr>
          <w:color w:val="auto"/>
        </w:rPr>
        <w:br w:type="page"/>
      </w:r>
    </w:p>
    <w:p w14:paraId="1E280ED8">
      <w:pPr>
        <w:pStyle w:val="2"/>
        <w:jc w:val="left"/>
        <w:rPr>
          <w:color w:val="auto"/>
        </w:rPr>
      </w:pPr>
      <w:r>
        <w:rPr>
          <w:rFonts w:ascii="Times New Roman" w:hAnsi="Times New Roman"/>
          <w:color w:val="auto"/>
          <w:sz w:val="32"/>
        </w:rPr>
        <w:t>Chapitre 4 : Conception de la solution</w:t>
      </w:r>
    </w:p>
    <w:p w14:paraId="4C3E5E97">
      <w:pPr>
        <w:pStyle w:val="3"/>
        <w:jc w:val="left"/>
        <w:rPr>
          <w:color w:val="auto"/>
        </w:rPr>
      </w:pPr>
      <w:r>
        <w:rPr>
          <w:rFonts w:ascii="Times New Roman" w:hAnsi="Times New Roman"/>
          <w:color w:val="auto"/>
          <w:sz w:val="28"/>
        </w:rPr>
        <w:t>4.1 Choix technologiques et justification</w:t>
      </w:r>
    </w:p>
    <w:p w14:paraId="03C9C3A8">
      <w:pPr>
        <w:pStyle w:val="4"/>
        <w:rPr>
          <w:color w:val="auto"/>
        </w:rPr>
      </w:pPr>
      <w:r>
        <w:rPr>
          <w:rFonts w:ascii="Times New Roman" w:hAnsi="Times New Roman"/>
          <w:b/>
          <w:color w:val="auto"/>
          <w:sz w:val="24"/>
        </w:rPr>
        <w:t>4.1.1 Langage et framework backend : Python / FastAPI</w:t>
      </w:r>
    </w:p>
    <w:p w14:paraId="4A97A58F">
      <w:pPr>
        <w:spacing w:after="120"/>
        <w:ind w:firstLine="567"/>
        <w:jc w:val="both"/>
        <w:rPr>
          <w:color w:val="auto"/>
        </w:rPr>
      </w:pPr>
      <w:r>
        <w:rPr>
          <w:rFonts w:ascii="Times New Roman" w:hAnsi="Times New Roman"/>
          <w:b w:val="0"/>
          <w:i w:val="0"/>
          <w:color w:val="auto"/>
          <w:sz w:val="24"/>
        </w:rPr>
        <w:t>Le backend de la plateforme est développé en Python avec le framework FastAPI. Ce choix s'est imposé pour plusieurs raisons complémentaires. FastAPI est un framework moderne, performant (basé sur Starlette et ASGI) et offrant une génération automatique de documentation OpenAPI (Swagger UI), ce qui facilite considérablement la collaboration et les tests. Sa validation automatique des données via Pydantic v2 garantit la robustesse des entrées/sorties de l'API. Python est par ailleurs le langage de prédilection des bibliothèques de traitement des données et d'intelligence artificielle, ouvrant la voie à des enrichissements futurs de la plateforme avec des composantes d'apprentissage automatique.</w:t>
      </w:r>
    </w:p>
    <w:p w14:paraId="5B37D0B1">
      <w:pPr>
        <w:spacing w:after="120"/>
        <w:ind w:firstLine="567"/>
        <w:jc w:val="both"/>
        <w:rPr>
          <w:color w:val="auto"/>
        </w:rPr>
      </w:pPr>
      <w:r>
        <w:rPr>
          <w:rFonts w:ascii="Times New Roman" w:hAnsi="Times New Roman"/>
          <w:b w:val="0"/>
          <w:i w:val="0"/>
          <w:color w:val="auto"/>
          <w:sz w:val="24"/>
        </w:rPr>
        <w:t>SQLAlchemy est utilisé comme ORM (Object-Relational Mapper) pour l'abstraction de la couche de persistance relationnelle, et Alembic pour la gestion versionnée des migrations de schéma de base de données. Cette combinaison est une référence de facto dans l'écosystème Python pour les applications d'entreprise nécessitant une gestion rigoureuse du schéma de données.</w:t>
      </w:r>
    </w:p>
    <w:p w14:paraId="4D1FC4AC">
      <w:pPr>
        <w:pStyle w:val="4"/>
        <w:rPr>
          <w:color w:val="auto"/>
        </w:rPr>
      </w:pPr>
      <w:r>
        <w:rPr>
          <w:rFonts w:ascii="Times New Roman" w:hAnsi="Times New Roman"/>
          <w:b/>
          <w:color w:val="auto"/>
          <w:sz w:val="24"/>
        </w:rPr>
        <w:t>4.1.2 Frontend : Next.js / TypeScript</w:t>
      </w:r>
    </w:p>
    <w:p w14:paraId="3FFEE145">
      <w:pPr>
        <w:spacing w:after="120"/>
        <w:ind w:firstLine="567"/>
        <w:jc w:val="both"/>
        <w:rPr>
          <w:color w:val="auto"/>
        </w:rPr>
      </w:pPr>
      <w:r>
        <w:rPr>
          <w:rFonts w:ascii="Times New Roman" w:hAnsi="Times New Roman"/>
          <w:b w:val="0"/>
          <w:i w:val="0"/>
          <w:color w:val="auto"/>
          <w:sz w:val="24"/>
        </w:rPr>
        <w:t>Les interfaces utilisateur sont développées en Next.js (framework React) avec TypeScript. Two instances sont déployées : l'interface RH sur le port 3000 (Next.js 15, App Router, Tailwind CSS v3) et le LMS sur le port 3001 (Next.js 16, App Router, Tailwind CSS v4). L'utilisation de TypeScript apporte un typage statique qui améliore la maintenabilité du code et réduit les erreurs d'exécution. L'App Router de Next.js permet une organisation logique du code par fonctionnalité (dashboards par rôle) et offre des performances optimales grâce au rendu serveur (SSR) et à la mise en cache intelligente. La gestion de l'état global (authentification, données utilisateur) est assurée par Zustand, une bibliothèque légère et performante.</w:t>
      </w:r>
    </w:p>
    <w:p w14:paraId="10D7D0E3">
      <w:pPr>
        <w:pStyle w:val="4"/>
        <w:rPr>
          <w:color w:val="auto"/>
        </w:rPr>
      </w:pPr>
      <w:r>
        <w:rPr>
          <w:rFonts w:ascii="Times New Roman" w:hAnsi="Times New Roman"/>
          <w:b/>
          <w:color w:val="auto"/>
          <w:sz w:val="24"/>
        </w:rPr>
        <w:t>4.1.3 Bases de données : PostgreSQL et MongoDB</w:t>
      </w:r>
    </w:p>
    <w:p w14:paraId="24516F48">
      <w:pPr>
        <w:spacing w:after="120"/>
        <w:ind w:firstLine="567"/>
        <w:jc w:val="both"/>
        <w:rPr>
          <w:color w:val="auto"/>
        </w:rPr>
      </w:pPr>
      <w:r>
        <w:rPr>
          <w:rFonts w:ascii="Times New Roman" w:hAnsi="Times New Roman"/>
          <w:b w:val="0"/>
          <w:i w:val="0"/>
          <w:color w:val="auto"/>
          <w:sz w:val="24"/>
        </w:rPr>
        <w:t>La plateforme utilise deux moteurs de bases de données aux rôles distincts. PostgreSQL est utilisé comme base de données relationnelle principale pour l'ensemble des données structurées du backend : utilisateurs, candidats, employés, offres d'emploi, compétences, organisations. Son modèle relationnel garantit l'intégrité référentielle des données et supporte les requêtes complexes multi-tables nécessaires au moteur de matching. MongoDB est utilisé par le LMS pour stocker les données pédagogiques : cours, modules, sections, quiz, questions, réponses, inscriptions et progressions. Sa nature documentaire est idéalement adaptée à la structure arborescente et variable du contenu pédagogique.</w:t>
      </w:r>
    </w:p>
    <w:p w14:paraId="26EDB4AC">
      <w:pPr>
        <w:pStyle w:val="3"/>
        <w:jc w:val="left"/>
        <w:rPr>
          <w:color w:val="auto"/>
        </w:rPr>
      </w:pPr>
      <w:r>
        <w:rPr>
          <w:rFonts w:ascii="Times New Roman" w:hAnsi="Times New Roman"/>
          <w:color w:val="auto"/>
          <w:sz w:val="28"/>
        </w:rPr>
        <w:t>4.2 Architecture globale de la plateforme</w:t>
      </w:r>
    </w:p>
    <w:p w14:paraId="409BD7A3">
      <w:pPr>
        <w:pStyle w:val="4"/>
        <w:rPr>
          <w:color w:val="auto"/>
        </w:rPr>
      </w:pPr>
      <w:r>
        <w:rPr>
          <w:rFonts w:ascii="Times New Roman" w:hAnsi="Times New Roman"/>
          <w:b/>
          <w:color w:val="auto"/>
          <w:sz w:val="24"/>
        </w:rPr>
        <w:t>4.2.1 Architecture trois niveaux</w:t>
      </w:r>
    </w:p>
    <w:p w14:paraId="2932EE14">
      <w:pPr>
        <w:spacing w:after="120"/>
        <w:ind w:firstLine="567"/>
        <w:jc w:val="both"/>
        <w:rPr>
          <w:color w:val="auto"/>
        </w:rPr>
      </w:pPr>
      <w:r>
        <w:rPr>
          <w:rFonts w:ascii="Times New Roman" w:hAnsi="Times New Roman"/>
          <w:b w:val="0"/>
          <w:i w:val="0"/>
          <w:color w:val="auto"/>
          <w:sz w:val="24"/>
        </w:rPr>
        <w:t>RecruitPRO adopte une architecture trois niveaux (3-tier) classique : la couche présentation (les deux frontends Next.js), la couche logique métier (l'API FastAPI) et la couche de persistance (PostgreSQL et MongoDB). Cette architecture offre une séparation claire des responsabilités et facilite la maintenance évolutive.</w:t>
      </w:r>
    </w:p>
    <w:p w14:paraId="6B214935">
      <w:pPr>
        <w:spacing w:after="120"/>
        <w:ind w:firstLine="567"/>
        <w:jc w:val="both"/>
        <w:rPr>
          <w:color w:val="auto"/>
        </w:rPr>
      </w:pPr>
      <w:r>
        <w:rPr>
          <w:rFonts w:ascii="Times New Roman" w:hAnsi="Times New Roman"/>
          <w:b w:val="0"/>
          <w:i w:val="0"/>
          <w:color w:val="auto"/>
          <w:sz w:val="24"/>
        </w:rPr>
        <w:t>Plus spécifiquement, la plateforme se décompose en trois applications distinctes mais interopérables :</w:t>
      </w:r>
    </w:p>
    <w:p w14:paraId="0C5EBB5E">
      <w:pPr>
        <w:pStyle w:val="34"/>
        <w:ind w:left="567"/>
        <w:rPr>
          <w:color w:val="auto"/>
        </w:rPr>
      </w:pPr>
      <w:r>
        <w:rPr>
          <w:rFonts w:ascii="Times New Roman" w:hAnsi="Times New Roman"/>
          <w:b w:val="0"/>
          <w:i w:val="0"/>
          <w:color w:val="auto"/>
          <w:sz w:val="24"/>
        </w:rPr>
        <w:t>Backend API REST (FastAPI) : point d'entrée unique pour toutes les opérations de données. 16 routeurs couvrant l'authentification, les candidats, les offres d'emploi, les compétences, les candidatures, les entreprises, les recruteurs, les utilisateurs, l'organisation, les employés, les rôles, le catalogue, l'intégration LMS, la mobilité interne et les formations.</w:t>
      </w:r>
    </w:p>
    <w:p w14:paraId="57BE76BE">
      <w:pPr>
        <w:pStyle w:val="34"/>
        <w:ind w:left="567"/>
        <w:rPr>
          <w:color w:val="auto"/>
        </w:rPr>
      </w:pPr>
      <w:r>
        <w:rPr>
          <w:rFonts w:ascii="Times New Roman" w:hAnsi="Times New Roman"/>
          <w:b w:val="0"/>
          <w:i w:val="0"/>
          <w:color w:val="auto"/>
          <w:sz w:val="24"/>
        </w:rPr>
        <w:t>Interface RH (Next.js 15) : dashboard adaptatif selon le rôle de l'utilisateur connecté. Quatre espaces : recruteur, candidat, employé, administration.</w:t>
      </w:r>
    </w:p>
    <w:p w14:paraId="4BE8BF49">
      <w:pPr>
        <w:pStyle w:val="34"/>
        <w:ind w:left="567"/>
        <w:rPr>
          <w:color w:val="auto"/>
        </w:rPr>
      </w:pPr>
      <w:r>
        <w:rPr>
          <w:rFonts w:ascii="Times New Roman" w:hAnsi="Times New Roman"/>
          <w:b w:val="0"/>
          <w:i w:val="0"/>
          <w:color w:val="auto"/>
          <w:sz w:val="24"/>
        </w:rPr>
        <w:t>LMS (Next.js 16) : plateforme pédagogique autonome avec ses propres routes API (Next.js API Routes), connectée à MongoDB Atlas. Accessible uniquement via SSO depuis l'interface RH.</w:t>
      </w:r>
    </w:p>
    <w:p w14:paraId="7E8A04F3">
      <w:pPr>
        <w:pStyle w:val="4"/>
        <w:rPr>
          <w:color w:val="auto"/>
        </w:rPr>
      </w:pPr>
      <w:r>
        <w:rPr>
          <w:rFonts w:ascii="Times New Roman" w:hAnsi="Times New Roman"/>
          <w:b/>
          <w:color w:val="auto"/>
          <w:sz w:val="24"/>
        </w:rPr>
        <w:t>4.2.2 Architecture d'authentification SSO</w:t>
      </w:r>
    </w:p>
    <w:p w14:paraId="28AC2A6F">
      <w:pPr>
        <w:spacing w:after="120"/>
        <w:ind w:firstLine="567"/>
        <w:jc w:val="both"/>
        <w:rPr>
          <w:color w:val="auto"/>
        </w:rPr>
      </w:pPr>
      <w:r>
        <w:rPr>
          <w:rFonts w:ascii="Times New Roman" w:hAnsi="Times New Roman"/>
          <w:b w:val="0"/>
          <w:i w:val="0"/>
          <w:color w:val="auto"/>
          <w:sz w:val="24"/>
        </w:rPr>
        <w:t>L'authentification unique (SSO) est la pierre angulaire de l'intégration entre les trois applications. Elle repose sur un mécanisme JWT (JSON Web Token) partagé :</w:t>
      </w:r>
    </w:p>
    <w:p w14:paraId="49600158">
      <w:pPr>
        <w:spacing w:after="120"/>
        <w:ind w:firstLine="567"/>
        <w:jc w:val="both"/>
        <w:rPr>
          <w:color w:val="auto"/>
        </w:rPr>
      </w:pPr>
      <w:r>
        <w:rPr>
          <w:rFonts w:ascii="Times New Roman" w:hAnsi="Times New Roman"/>
          <w:b w:val="0"/>
          <w:i w:val="0"/>
          <w:color w:val="auto"/>
          <w:sz w:val="24"/>
        </w:rPr>
        <w:t>1. L'utilisateur s'authentifie sur l'interface RH (le seul point d'entrée). L'API backend vérifie ses identifiants, génère un JWT signé avec la clé secrète partagée (HS256) et le retourne. Le frontend RH stocke ce token dans son state global (Zustand).</w:t>
      </w:r>
    </w:p>
    <w:p w14:paraId="3B36307B">
      <w:pPr>
        <w:spacing w:after="120"/>
        <w:ind w:firstLine="567"/>
        <w:jc w:val="both"/>
        <w:rPr>
          <w:color w:val="auto"/>
        </w:rPr>
      </w:pPr>
      <w:r>
        <w:rPr>
          <w:rFonts w:ascii="Times New Roman" w:hAnsi="Times New Roman"/>
          <w:b w:val="0"/>
          <w:i w:val="0"/>
          <w:color w:val="auto"/>
          <w:sz w:val="24"/>
        </w:rPr>
        <w:t>2. Pour accéder au LMS, le frontend RH construit une URL d'accès incluant le token en paramètre de requête (?token=&lt;jwt&gt;) et ouvre le LMS dans un nouvel onglet.</w:t>
      </w:r>
    </w:p>
    <w:p w14:paraId="10899424">
      <w:pPr>
        <w:spacing w:after="120"/>
        <w:ind w:firstLine="567"/>
        <w:jc w:val="both"/>
        <w:rPr>
          <w:color w:val="auto"/>
        </w:rPr>
      </w:pPr>
      <w:r>
        <w:rPr>
          <w:rFonts w:ascii="Times New Roman" w:hAnsi="Times New Roman"/>
          <w:b w:val="0"/>
          <w:i w:val="0"/>
          <w:color w:val="auto"/>
          <w:sz w:val="24"/>
        </w:rPr>
        <w:t>3. Le middleware LMS intercepte ce paramètre, vérifie la signature du token avec la même clé secrète partagée, stocke le token dans le localStorage du navigateur et supprime le paramètre de l'URL (pour éviter le partage accidentel de l'URL avec le token).</w:t>
      </w:r>
    </w:p>
    <w:p w14:paraId="3F2F4079">
      <w:pPr>
        <w:spacing w:after="120"/>
        <w:ind w:firstLine="567"/>
        <w:jc w:val="both"/>
        <w:rPr>
          <w:color w:val="auto"/>
        </w:rPr>
      </w:pPr>
      <w:r>
        <w:rPr>
          <w:rFonts w:ascii="Times New Roman" w:hAnsi="Times New Roman"/>
          <w:b w:val="0"/>
          <w:i w:val="0"/>
          <w:color w:val="auto"/>
          <w:sz w:val="24"/>
        </w:rPr>
        <w:t>4. Les routes API du LMS vérifient ensuite ce token pour chaque requête, garantissant que seuls les utilisateurs authentifiés peuvent accéder aux données pédagogiques.</w:t>
      </w:r>
    </w:p>
    <w:p w14:paraId="4E8ECDE2">
      <w:pPr>
        <w:spacing w:after="120"/>
        <w:ind w:firstLine="567"/>
        <w:jc w:val="both"/>
        <w:rPr>
          <w:color w:val="auto"/>
        </w:rPr>
      </w:pPr>
      <w:r>
        <w:rPr>
          <w:rFonts w:ascii="Times New Roman" w:hAnsi="Times New Roman"/>
          <w:b w:val="0"/>
          <w:i w:val="0"/>
          <w:color w:val="auto"/>
          <w:sz w:val="24"/>
        </w:rPr>
        <w:t>5. Pour les appels service-à-service (backend RH → API LMS, par exemple pour l'inscription à une formation), le backend génère un token de service à courte durée de vie (5 minutes) avec un rôle ADMIN, évitant ainsi de transmettre le token de l'utilisateur connecté.</w:t>
      </w:r>
    </w:p>
    <w:p w14:paraId="27BB6FE7">
      <w:pPr>
        <w:spacing w:after="120"/>
        <w:ind w:firstLine="567"/>
        <w:jc w:val="both"/>
        <w:rPr>
          <w:color w:val="auto"/>
        </w:rPr>
      </w:pPr>
      <w:r>
        <w:rPr>
          <w:rFonts w:ascii="Times New Roman" w:hAnsi="Times New Roman"/>
          <w:b w:val="0"/>
          <w:i w:val="0"/>
          <w:color w:val="auto"/>
          <w:sz w:val="24"/>
        </w:rPr>
        <w:t>[INSÉRER ICI : diagramme de séquence UML de l'authentification SSO]</w:t>
      </w:r>
    </w:p>
    <w:p w14:paraId="157E562E">
      <w:pPr>
        <w:pStyle w:val="4"/>
        <w:rPr>
          <w:color w:val="auto"/>
        </w:rPr>
      </w:pPr>
      <w:r>
        <w:rPr>
          <w:rFonts w:ascii="Times New Roman" w:hAnsi="Times New Roman"/>
          <w:b/>
          <w:color w:val="auto"/>
          <w:sz w:val="24"/>
        </w:rPr>
        <w:t>4.2.3 Multi-tenancy</w:t>
      </w:r>
    </w:p>
    <w:p w14:paraId="493D50BE">
      <w:pPr>
        <w:spacing w:after="120"/>
        <w:ind w:firstLine="567"/>
        <w:jc w:val="both"/>
        <w:rPr>
          <w:color w:val="auto"/>
        </w:rPr>
      </w:pPr>
      <w:r>
        <w:rPr>
          <w:rFonts w:ascii="Times New Roman" w:hAnsi="Times New Roman"/>
          <w:b w:val="0"/>
          <w:i w:val="0"/>
          <w:color w:val="auto"/>
          <w:sz w:val="24"/>
        </w:rPr>
        <w:t>La plateforme supporte le multi-tenant selon un modèle de base de données partagée, schéma partagé (shared database, shared schema). Chaque entité organisationnelle (entreprise, division ONCF) est identifiée par un company_id. Les tables tenant-dépendantes (offres, employés, organisations, postes internes, formations) portent ce company_id et chaque endpoint API filtre les données en fonction du company_id de l'utilisateur connecté. Les candidats et le référentiel de compétences sont globaux (mutualisés entre tous les tenants), ce qui permet la constitution d'un vivier de talents partagé.</w:t>
      </w:r>
    </w:p>
    <w:p w14:paraId="25D8981F">
      <w:pPr>
        <w:pStyle w:val="3"/>
        <w:jc w:val="left"/>
        <w:rPr>
          <w:color w:val="auto"/>
        </w:rPr>
      </w:pPr>
      <w:r>
        <w:rPr>
          <w:rFonts w:ascii="Times New Roman" w:hAnsi="Times New Roman"/>
          <w:color w:val="auto"/>
          <w:sz w:val="28"/>
        </w:rPr>
        <w:t>4.3 Modèle de données</w:t>
      </w:r>
    </w:p>
    <w:p w14:paraId="5712FF03">
      <w:pPr>
        <w:pStyle w:val="4"/>
        <w:rPr>
          <w:color w:val="auto"/>
        </w:rPr>
      </w:pPr>
      <w:r>
        <w:rPr>
          <w:rFonts w:ascii="Times New Roman" w:hAnsi="Times New Roman"/>
          <w:b/>
          <w:color w:val="auto"/>
          <w:sz w:val="24"/>
        </w:rPr>
        <w:t>4.3.1 Schéma relationnel principal (PostgreSQL)</w:t>
      </w:r>
    </w:p>
    <w:p w14:paraId="23C5807B">
      <w:pPr>
        <w:spacing w:after="120"/>
        <w:ind w:firstLine="567"/>
        <w:jc w:val="both"/>
        <w:rPr>
          <w:color w:val="auto"/>
        </w:rPr>
      </w:pPr>
      <w:r>
        <w:rPr>
          <w:rFonts w:ascii="Times New Roman" w:hAnsi="Times New Roman"/>
          <w:b w:val="0"/>
          <w:i w:val="0"/>
          <w:color w:val="auto"/>
          <w:sz w:val="24"/>
        </w:rPr>
        <w:t>Le schéma de données de RecruitPRO s'organise autour de plusieurs domaines fonctionnels :</w:t>
      </w:r>
    </w:p>
    <w:p w14:paraId="3DD9967D">
      <w:pPr>
        <w:spacing w:after="120"/>
        <w:ind w:firstLine="567"/>
        <w:jc w:val="both"/>
        <w:rPr>
          <w:color w:val="auto"/>
        </w:rPr>
      </w:pPr>
      <w:r>
        <w:rPr>
          <w:rFonts w:ascii="Times New Roman" w:hAnsi="Times New Roman"/>
          <w:b w:val="0"/>
          <w:i w:val="0"/>
          <w:color w:val="auto"/>
          <w:sz w:val="24"/>
        </w:rPr>
        <w:t>Domaine Identité : la table users est le pivot du système. Elle porte le rôle système (ADMIN, RECRUITER, CANDIDATE, EMPLOYEE) et est liée à toutes les tables profil (candidates, employees, recruiters).</w:t>
      </w:r>
    </w:p>
    <w:p w14:paraId="2DE11AC4">
      <w:pPr>
        <w:spacing w:after="120"/>
        <w:ind w:firstLine="567"/>
        <w:jc w:val="both"/>
        <w:rPr>
          <w:color w:val="auto"/>
        </w:rPr>
      </w:pPr>
      <w:r>
        <w:rPr>
          <w:rFonts w:ascii="Times New Roman" w:hAnsi="Times New Roman"/>
          <w:b w:val="0"/>
          <w:i w:val="0"/>
          <w:color w:val="auto"/>
          <w:sz w:val="24"/>
        </w:rPr>
        <w:t>Domaine Compétences : la table skills est le référentiel central des compétences (global, sans company_id). Les tables candidate_skills et employee_skills portent les niveaux de compétence (1-4) et les années d'expérience pour chaque individu.</w:t>
      </w:r>
    </w:p>
    <w:p w14:paraId="35D10F21">
      <w:pPr>
        <w:spacing w:after="120"/>
        <w:ind w:firstLine="567"/>
        <w:jc w:val="both"/>
        <w:rPr>
          <w:color w:val="auto"/>
        </w:rPr>
      </w:pPr>
      <w:r>
        <w:rPr>
          <w:rFonts w:ascii="Times New Roman" w:hAnsi="Times New Roman"/>
          <w:b w:val="0"/>
          <w:i w:val="0"/>
          <w:color w:val="auto"/>
          <w:sz w:val="24"/>
        </w:rPr>
        <w:t>Domaine Recrutement : jobs (offres d'emploi), job_requirements (compétences requises avec niveau et caractère obligatoire), applications (candidatures avec statut Kanban).</w:t>
      </w:r>
    </w:p>
    <w:p w14:paraId="5AB365D6">
      <w:pPr>
        <w:spacing w:after="120"/>
        <w:ind w:firstLine="567"/>
        <w:jc w:val="both"/>
        <w:rPr>
          <w:color w:val="auto"/>
        </w:rPr>
      </w:pPr>
      <w:r>
        <w:rPr>
          <w:rFonts w:ascii="Times New Roman" w:hAnsi="Times New Roman"/>
          <w:b w:val="0"/>
          <w:i w:val="0"/>
          <w:color w:val="auto"/>
          <w:sz w:val="24"/>
        </w:rPr>
        <w:t>Domaine RH : employees (profil employé), org_units (unités organisationnelles en arborescence), employee_org_assignments (rattachement des employés aux unités), internal_roles (rôles internes avec permissions), internal_positions (postes de mobilité interne), internal_applications (candidatures internes).</w:t>
      </w:r>
    </w:p>
    <w:p w14:paraId="35BA1559">
      <w:pPr>
        <w:spacing w:after="120"/>
        <w:ind w:firstLine="567"/>
        <w:jc w:val="both"/>
        <w:rPr>
          <w:color w:val="auto"/>
        </w:rPr>
      </w:pPr>
      <w:r>
        <w:rPr>
          <w:rFonts w:ascii="Times New Roman" w:hAnsi="Times New Roman"/>
          <w:b w:val="0"/>
          <w:i w:val="0"/>
          <w:color w:val="auto"/>
          <w:sz w:val="24"/>
        </w:rPr>
        <w:t>Domaine Formation : trainings (formations du catalogue RH), training_skills (compétences enseignées par chaque formation), training_enrollments (inscriptions avec statut et score).</w:t>
      </w:r>
    </w:p>
    <w:p w14:paraId="697DB613">
      <w:pPr>
        <w:spacing w:after="120"/>
        <w:ind w:firstLine="567"/>
        <w:jc w:val="both"/>
        <w:rPr>
          <w:color w:val="auto"/>
        </w:rPr>
      </w:pPr>
      <w:r>
        <w:rPr>
          <w:rFonts w:ascii="Times New Roman" w:hAnsi="Times New Roman"/>
          <w:b w:val="0"/>
          <w:i w:val="0"/>
          <w:color w:val="auto"/>
          <w:sz w:val="24"/>
        </w:rPr>
        <w:t>[INSÉRER ICI : diagramme entité-relation (ERD) du schéma PostgreSQL, généré depuis les modèles SQLAlchemy]</w:t>
      </w:r>
    </w:p>
    <w:p w14:paraId="0AE19C5E">
      <w:pPr>
        <w:pStyle w:val="4"/>
        <w:rPr>
          <w:color w:val="auto"/>
        </w:rPr>
      </w:pPr>
      <w:r>
        <w:rPr>
          <w:rFonts w:ascii="Times New Roman" w:hAnsi="Times New Roman"/>
          <w:b/>
          <w:color w:val="auto"/>
          <w:sz w:val="24"/>
        </w:rPr>
        <w:t>4.3.2 Schéma documentaire LMS (MongoDB)</w:t>
      </w:r>
    </w:p>
    <w:p w14:paraId="6CE83EA1">
      <w:pPr>
        <w:spacing w:after="120"/>
        <w:ind w:firstLine="567"/>
        <w:jc w:val="both"/>
        <w:rPr>
          <w:color w:val="auto"/>
        </w:rPr>
      </w:pPr>
      <w:r>
        <w:rPr>
          <w:rFonts w:ascii="Times New Roman" w:hAnsi="Times New Roman"/>
          <w:b w:val="0"/>
          <w:i w:val="0"/>
          <w:color w:val="auto"/>
          <w:sz w:val="24"/>
        </w:rPr>
        <w:t>Le LMS utilise un schéma documentaire MongoDB organisé autour des entités suivantes : Course (cours avec métadonnées, catégorie, formateur), Module (module d'un cours), Section (section d'un module, avec contenu textuel ou vidéo), Quiz, Question, Answer (structure d'évaluation), Enrollment (inscription d'un apprenant à un cours), Progress (progression par section et quiz).</w:t>
      </w:r>
    </w:p>
    <w:p w14:paraId="21DBE833">
      <w:pPr>
        <w:spacing w:after="120"/>
        <w:ind w:firstLine="567"/>
        <w:jc w:val="both"/>
        <w:rPr>
          <w:color w:val="auto"/>
        </w:rPr>
      </w:pPr>
      <w:r>
        <w:rPr>
          <w:rFonts w:ascii="Times New Roman" w:hAnsi="Times New Roman"/>
          <w:b w:val="0"/>
          <w:i w:val="0"/>
          <w:color w:val="auto"/>
          <w:sz w:val="24"/>
        </w:rPr>
        <w:t>La nature imbriquée et variable du contenu pédagogique (un cours peut avoir 2 modules ou 20, avec des types de sections différents) justifie le choix de MongoDB par rapport à un schéma relationnel rigide.</w:t>
      </w:r>
    </w:p>
    <w:p w14:paraId="4172470F">
      <w:pPr>
        <w:pStyle w:val="3"/>
        <w:jc w:val="left"/>
        <w:rPr>
          <w:color w:val="auto"/>
        </w:rPr>
      </w:pPr>
      <w:r>
        <w:rPr>
          <w:rFonts w:ascii="Times New Roman" w:hAnsi="Times New Roman"/>
          <w:color w:val="auto"/>
          <w:sz w:val="28"/>
        </w:rPr>
        <w:t>4.4 Conception du moteur de matching</w:t>
      </w:r>
    </w:p>
    <w:p w14:paraId="6E0C2475">
      <w:pPr>
        <w:pStyle w:val="4"/>
        <w:rPr>
          <w:color w:val="auto"/>
        </w:rPr>
      </w:pPr>
      <w:r>
        <w:rPr>
          <w:rFonts w:ascii="Times New Roman" w:hAnsi="Times New Roman"/>
          <w:b/>
          <w:color w:val="auto"/>
          <w:sz w:val="24"/>
        </w:rPr>
        <w:t>4.4.1 Architecture du moteur</w:t>
      </w:r>
    </w:p>
    <w:p w14:paraId="1CFB1076">
      <w:pPr>
        <w:spacing w:after="120"/>
        <w:ind w:firstLine="567"/>
        <w:jc w:val="both"/>
        <w:rPr>
          <w:color w:val="auto"/>
        </w:rPr>
      </w:pPr>
      <w:r>
        <w:rPr>
          <w:rFonts w:ascii="Times New Roman" w:hAnsi="Times New Roman"/>
          <w:b w:val="0"/>
          <w:i w:val="0"/>
          <w:color w:val="auto"/>
          <w:sz w:val="24"/>
        </w:rPr>
        <w:t>Le moteur de matching de RecruitPRO est implémenté en Python dans le service backend (app/services/matching.py). Il calcule pour chaque couple (candidat, offre d'emploi) deux scores indépendants :</w:t>
      </w:r>
    </w:p>
    <w:p w14:paraId="4C02297E">
      <w:pPr>
        <w:spacing w:after="120"/>
        <w:ind w:firstLine="567"/>
        <w:jc w:val="both"/>
        <w:rPr>
          <w:color w:val="auto"/>
        </w:rPr>
      </w:pPr>
      <w:r>
        <w:rPr>
          <w:rFonts w:ascii="Times New Roman" w:hAnsi="Times New Roman"/>
          <w:b w:val="0"/>
          <w:i w:val="0"/>
          <w:color w:val="auto"/>
          <w:sz w:val="24"/>
        </w:rPr>
        <w:t>Score de Fit : mesure l'adéquation entre les compétences actuelles du candidat et les exigences du poste. Il est calculé selon une formule pondérée à trois composantes :</w:t>
      </w:r>
    </w:p>
    <w:p w14:paraId="2CB58260">
      <w:pPr>
        <w:pStyle w:val="34"/>
        <w:ind w:left="567"/>
        <w:rPr>
          <w:color w:val="auto"/>
        </w:rPr>
      </w:pPr>
      <w:r>
        <w:rPr>
          <w:rFonts w:ascii="Times New Roman" w:hAnsi="Times New Roman"/>
          <w:b w:val="0"/>
          <w:i w:val="0"/>
          <w:color w:val="auto"/>
          <w:sz w:val="24"/>
        </w:rPr>
        <w:t>Composante compétences (poids 60%) : pour chaque compétence requise, on calcule le ratio niveau_candidat / niveau_requis (plafonné à 1.0). Les compétences obligatoires sont pondérées deux fois plus que les compétences optionnelles. Une pénalité multiplicative (0.7^n) est appliquée pour chaque compétence obligatoire manquante, n étant le nombre de compétences obligatoires absentes.</w:t>
      </w:r>
    </w:p>
    <w:p w14:paraId="68EE297B">
      <w:pPr>
        <w:pStyle w:val="34"/>
        <w:ind w:left="567"/>
        <w:rPr>
          <w:color w:val="auto"/>
        </w:rPr>
      </w:pPr>
      <w:r>
        <w:rPr>
          <w:rFonts w:ascii="Times New Roman" w:hAnsi="Times New Roman"/>
          <w:b w:val="0"/>
          <w:i w:val="0"/>
          <w:color w:val="auto"/>
          <w:sz w:val="24"/>
        </w:rPr>
        <w:t>Composante expérience (poids 25%) : comparaison des années d'expérience totales du candidat avec les exigences du poste.</w:t>
      </w:r>
    </w:p>
    <w:p w14:paraId="38007DF3">
      <w:pPr>
        <w:pStyle w:val="34"/>
        <w:ind w:left="567"/>
        <w:rPr>
          <w:color w:val="auto"/>
        </w:rPr>
      </w:pPr>
      <w:r>
        <w:rPr>
          <w:rFonts w:ascii="Times New Roman" w:hAnsi="Times New Roman"/>
          <w:b w:val="0"/>
          <w:i w:val="0"/>
          <w:color w:val="auto"/>
          <w:sz w:val="24"/>
        </w:rPr>
        <w:t>Composante formation (poids 15%) : comparaison du niveau d'études du candidat (codifié sur 8 niveaux, de sans diplôme à HDR) avec le niveau requis par le poste.</w:t>
      </w:r>
    </w:p>
    <w:p w14:paraId="439F5A43">
      <w:pPr>
        <w:spacing w:after="120"/>
        <w:ind w:firstLine="567"/>
        <w:jc w:val="both"/>
        <w:rPr>
          <w:color w:val="auto"/>
        </w:rPr>
      </w:pPr>
      <w:r>
        <w:rPr>
          <w:rFonts w:ascii="Times New Roman" w:hAnsi="Times New Roman"/>
          <w:b w:val="0"/>
          <w:i w:val="0"/>
          <w:color w:val="auto"/>
          <w:sz w:val="24"/>
        </w:rPr>
        <w:t>Score de Potentiel : mesure la capacité d'adaptation et d'évolution du candidat vers le poste. Il est calculé uniquement lorsqu'il existe des écarts entre les compétences du candidat et les exigences du poste (il est nul si le candidat satisfait pleinement toutes les exigences). Il repose sur :</w:t>
      </w:r>
    </w:p>
    <w:p w14:paraId="77894962">
      <w:pPr>
        <w:pStyle w:val="34"/>
        <w:ind w:left="567"/>
        <w:rPr>
          <w:color w:val="auto"/>
        </w:rPr>
      </w:pPr>
      <w:r>
        <w:rPr>
          <w:rFonts w:ascii="Times New Roman" w:hAnsi="Times New Roman"/>
          <w:b w:val="0"/>
          <w:i w:val="0"/>
          <w:color w:val="auto"/>
          <w:sz w:val="24"/>
        </w:rPr>
        <w:t>La proximité ROME entre le code ROME du candidat et celui du poste (1.0 pour le même sous-domaine, 0.6 pour le même domaine, 0.3 pour des domaines différents).</w:t>
      </w:r>
    </w:p>
    <w:p w14:paraId="24A0E0E7">
      <w:pPr>
        <w:pStyle w:val="34"/>
        <w:ind w:left="567"/>
        <w:rPr>
          <w:color w:val="auto"/>
        </w:rPr>
      </w:pPr>
      <w:r>
        <w:rPr>
          <w:rFonts w:ascii="Times New Roman" w:hAnsi="Times New Roman"/>
          <w:b w:val="0"/>
          <w:i w:val="0"/>
          <w:color w:val="auto"/>
          <w:sz w:val="24"/>
        </w:rPr>
        <w:t>Un bonus de certifications : présence de certifications pertinentes dans le profil du candidat.</w:t>
      </w:r>
    </w:p>
    <w:p w14:paraId="2884EFB2">
      <w:pPr>
        <w:pStyle w:val="4"/>
        <w:rPr>
          <w:color w:val="auto"/>
        </w:rPr>
      </w:pPr>
      <w:r>
        <w:rPr>
          <w:rFonts w:ascii="Times New Roman" w:hAnsi="Times New Roman"/>
          <w:b/>
          <w:color w:val="auto"/>
          <w:sz w:val="24"/>
        </w:rPr>
        <w:t>4.4.2 Recommandation</w:t>
      </w:r>
    </w:p>
    <w:p w14:paraId="71A0B8E4">
      <w:pPr>
        <w:spacing w:after="120"/>
        <w:ind w:firstLine="567"/>
        <w:jc w:val="both"/>
        <w:rPr>
          <w:color w:val="auto"/>
        </w:rPr>
      </w:pPr>
      <w:r>
        <w:rPr>
          <w:rFonts w:ascii="Times New Roman" w:hAnsi="Times New Roman"/>
          <w:b w:val="0"/>
          <w:i w:val="0"/>
          <w:color w:val="auto"/>
          <w:sz w:val="24"/>
        </w:rPr>
        <w:t>À partir des deux scores, le moteur dérive une recommandation tripartite : STRONG_FIT (fort fit, faible écart), POTENTIAL (fit moyen mais potentiel élevé – profil à former) ou WEAK_FIT (ni fit suffisant ni potentiel identifié). Cette recommandation guide le recruteur dans sa décision : les profils STRONG_FIT sont des candidats à intégrer rapidement ; les profils POTENTIAL sont des candidats à accompagner avec un plan de formation ; les profils WEAK_FIT peuvent être archivés ou orientés vers d'autres offres plus adaptées.</w:t>
      </w:r>
    </w:p>
    <w:p w14:paraId="25031FE0">
      <w:pPr>
        <w:pStyle w:val="3"/>
        <w:jc w:val="left"/>
        <w:rPr>
          <w:color w:val="auto"/>
        </w:rPr>
      </w:pPr>
      <w:r>
        <w:rPr>
          <w:rFonts w:ascii="Times New Roman" w:hAnsi="Times New Roman"/>
          <w:color w:val="auto"/>
          <w:sz w:val="28"/>
        </w:rPr>
        <w:t>4.5 Contrôle d'accès basé sur les rôles (RBAC)</w:t>
      </w:r>
    </w:p>
    <w:p w14:paraId="034C7CDD">
      <w:pPr>
        <w:spacing w:after="120"/>
        <w:ind w:firstLine="567"/>
        <w:jc w:val="both"/>
        <w:rPr>
          <w:color w:val="auto"/>
        </w:rPr>
      </w:pPr>
      <w:r>
        <w:rPr>
          <w:rFonts w:ascii="Times New Roman" w:hAnsi="Times New Roman"/>
          <w:b w:val="0"/>
          <w:i w:val="0"/>
          <w:color w:val="auto"/>
          <w:sz w:val="24"/>
        </w:rPr>
        <w:t>RecruitPRO implémente un contrôle d'accès à deux niveaux :</w:t>
      </w:r>
    </w:p>
    <w:p w14:paraId="1CB63DA5">
      <w:pPr>
        <w:spacing w:after="120"/>
        <w:ind w:firstLine="567"/>
        <w:jc w:val="both"/>
        <w:rPr>
          <w:color w:val="auto"/>
        </w:rPr>
      </w:pPr>
      <w:r>
        <w:rPr>
          <w:rFonts w:ascii="Times New Roman" w:hAnsi="Times New Roman"/>
          <w:b w:val="0"/>
          <w:i w:val="0"/>
          <w:color w:val="auto"/>
          <w:sz w:val="24"/>
        </w:rPr>
        <w:t>Niveau 1 – Rôle système : chaque utilisateur est associé à un rôle global (ADMIN, RECRUITER, CANDIDATE, EMPLOYEE) qui détermine les modules accessibles et les opérations permises au niveau de l'API. Ce rôle est encodé dans le JWT et vérifié à chaque requête.</w:t>
      </w:r>
    </w:p>
    <w:p w14:paraId="12B81227">
      <w:pPr>
        <w:spacing w:after="120"/>
        <w:ind w:firstLine="567"/>
        <w:jc w:val="both"/>
        <w:rPr>
          <w:color w:val="auto"/>
        </w:rPr>
      </w:pPr>
      <w:r>
        <w:rPr>
          <w:rFonts w:ascii="Times New Roman" w:hAnsi="Times New Roman"/>
          <w:b w:val="0"/>
          <w:i w:val="0"/>
          <w:color w:val="auto"/>
          <w:sz w:val="24"/>
        </w:rPr>
        <w:t>Niveau 2 – Rôle interne : au sein d'une entreprise/entité organisationnelle, des rôles métiers personnalisables (ex. : Manager, Responsable RH, Chargé de formation) sont définis avec un ensemble de 12 permissions atomiques (recrutement:créer, recrutement:voir, employés:gérer, formations:assigner, etc.). Ce niveau fin de permission permet d'adapter les droits d'accès aux organigrammes RH complexes de grandes organisations comme l'ONCF.</w:t>
      </w:r>
    </w:p>
    <w:p w14:paraId="00FA68F0">
      <w:pPr>
        <w:spacing w:after="120"/>
        <w:ind w:firstLine="567"/>
        <w:jc w:val="both"/>
        <w:rPr>
          <w:color w:val="auto"/>
        </w:rPr>
      </w:pPr>
      <w:r>
        <w:rPr>
          <w:rFonts w:ascii="Times New Roman" w:hAnsi="Times New Roman"/>
          <w:b w:val="0"/>
          <w:i w:val="0"/>
          <w:color w:val="auto"/>
          <w:sz w:val="24"/>
        </w:rPr>
        <w:t>Les règles de contournement (bypass) garantissent que les administrateurs systèmes ont accès à tout, et que les recruteurs propriétaires d'un tenant (sans profil employé) ne sont pas bloqués par l'absence de rôle interne.</w:t>
      </w:r>
    </w:p>
    <w:p w14:paraId="48125BA3">
      <w:pPr>
        <w:rPr>
          <w:color w:val="auto"/>
        </w:rPr>
      </w:pPr>
      <w:r>
        <w:rPr>
          <w:color w:val="auto"/>
        </w:rPr>
        <w:br w:type="page"/>
      </w:r>
    </w:p>
    <w:p w14:paraId="4D0DA0B1">
      <w:pPr>
        <w:pStyle w:val="2"/>
        <w:jc w:val="left"/>
        <w:rPr>
          <w:color w:val="auto"/>
        </w:rPr>
      </w:pPr>
      <w:r>
        <w:rPr>
          <w:rFonts w:ascii="Times New Roman" w:hAnsi="Times New Roman"/>
          <w:color w:val="auto"/>
          <w:sz w:val="32"/>
        </w:rPr>
        <w:t>Chapitre 5 : Réalisation et mise en œuvre</w:t>
      </w:r>
    </w:p>
    <w:p w14:paraId="2E35CC79">
      <w:pPr>
        <w:pStyle w:val="3"/>
        <w:jc w:val="left"/>
        <w:rPr>
          <w:color w:val="auto"/>
        </w:rPr>
      </w:pPr>
      <w:r>
        <w:rPr>
          <w:rFonts w:ascii="Times New Roman" w:hAnsi="Times New Roman"/>
          <w:color w:val="auto"/>
          <w:sz w:val="28"/>
        </w:rPr>
        <w:t>5.1 Environnement de développement</w:t>
      </w:r>
    </w:p>
    <w:p w14:paraId="6FE488B0">
      <w:pPr>
        <w:spacing w:after="120"/>
        <w:ind w:firstLine="567"/>
        <w:jc w:val="both"/>
        <w:rPr>
          <w:color w:val="auto"/>
        </w:rPr>
      </w:pPr>
      <w:r>
        <w:rPr>
          <w:rFonts w:ascii="Times New Roman" w:hAnsi="Times New Roman"/>
          <w:b w:val="0"/>
          <w:i w:val="0"/>
          <w:color w:val="auto"/>
          <w:sz w:val="24"/>
        </w:rPr>
        <w:t>La plateforme RecruitPRO a été développée sur un poste de travail Windows 11 Pro avec les outils et technologies suivants :</w:t>
      </w:r>
    </w:p>
    <w:tbl>
      <w:tblPr>
        <w:tblStyle w:val="6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7AEF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shd w:val="clear" w:color="auto" w:fill="1F497D"/>
          </w:tcPr>
          <w:p w14:paraId="2A3E4648">
            <w:pPr>
              <w:spacing w:after="0" w:line="240" w:lineRule="auto"/>
              <w:jc w:val="center"/>
              <w:rPr>
                <w:color w:val="auto"/>
              </w:rPr>
            </w:pPr>
            <w:r>
              <w:rPr>
                <w:rFonts w:ascii="Times New Roman" w:hAnsi="Times New Roman"/>
                <w:b/>
                <w:i w:val="0"/>
                <w:color w:val="auto"/>
                <w:sz w:val="22"/>
              </w:rPr>
              <w:t>Outil / Technologie</w:t>
            </w:r>
          </w:p>
        </w:tc>
        <w:tc>
          <w:tcPr>
            <w:tcW w:w="3041" w:type="dxa"/>
            <w:shd w:val="clear" w:color="auto" w:fill="1F497D"/>
          </w:tcPr>
          <w:p w14:paraId="029FA8C1">
            <w:pPr>
              <w:spacing w:after="0" w:line="240" w:lineRule="auto"/>
              <w:jc w:val="center"/>
              <w:rPr>
                <w:color w:val="auto"/>
              </w:rPr>
            </w:pPr>
            <w:r>
              <w:rPr>
                <w:rFonts w:ascii="Times New Roman" w:hAnsi="Times New Roman"/>
                <w:b/>
                <w:i w:val="0"/>
                <w:color w:val="auto"/>
                <w:sz w:val="22"/>
              </w:rPr>
              <w:t>Version</w:t>
            </w:r>
          </w:p>
        </w:tc>
        <w:tc>
          <w:tcPr>
            <w:tcW w:w="3041" w:type="dxa"/>
            <w:shd w:val="clear" w:color="auto" w:fill="1F497D"/>
          </w:tcPr>
          <w:p w14:paraId="47CC3A6A">
            <w:pPr>
              <w:spacing w:after="0" w:line="240" w:lineRule="auto"/>
              <w:jc w:val="center"/>
              <w:rPr>
                <w:color w:val="auto"/>
              </w:rPr>
            </w:pPr>
            <w:r>
              <w:rPr>
                <w:rFonts w:ascii="Times New Roman" w:hAnsi="Times New Roman"/>
                <w:b/>
                <w:i w:val="0"/>
                <w:color w:val="auto"/>
                <w:sz w:val="22"/>
              </w:rPr>
              <w:t>Rôle</w:t>
            </w:r>
          </w:p>
        </w:tc>
      </w:tr>
      <w:tr w14:paraId="045ED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5516DD06">
            <w:pPr>
              <w:spacing w:after="0" w:line="240" w:lineRule="auto"/>
              <w:rPr>
                <w:color w:val="auto"/>
              </w:rPr>
            </w:pPr>
            <w:r>
              <w:rPr>
                <w:rFonts w:ascii="Times New Roman" w:hAnsi="Times New Roman"/>
                <w:b w:val="0"/>
                <w:i w:val="0"/>
                <w:color w:val="auto"/>
                <w:sz w:val="22"/>
              </w:rPr>
              <w:t>Python</w:t>
            </w:r>
          </w:p>
        </w:tc>
        <w:tc>
          <w:tcPr>
            <w:tcW w:w="3041" w:type="dxa"/>
          </w:tcPr>
          <w:p w14:paraId="402B6F94">
            <w:pPr>
              <w:spacing w:after="0" w:line="240" w:lineRule="auto"/>
              <w:rPr>
                <w:color w:val="auto"/>
              </w:rPr>
            </w:pPr>
            <w:r>
              <w:rPr>
                <w:rFonts w:ascii="Times New Roman" w:hAnsi="Times New Roman"/>
                <w:b w:val="0"/>
                <w:i w:val="0"/>
                <w:color w:val="auto"/>
                <w:sz w:val="22"/>
              </w:rPr>
              <w:t>3.11</w:t>
            </w:r>
          </w:p>
        </w:tc>
        <w:tc>
          <w:tcPr>
            <w:tcW w:w="3041" w:type="dxa"/>
          </w:tcPr>
          <w:p w14:paraId="57231281">
            <w:pPr>
              <w:spacing w:after="0" w:line="240" w:lineRule="auto"/>
              <w:rPr>
                <w:color w:val="auto"/>
              </w:rPr>
            </w:pPr>
            <w:r>
              <w:rPr>
                <w:rFonts w:ascii="Times New Roman" w:hAnsi="Times New Roman"/>
                <w:b w:val="0"/>
                <w:i w:val="0"/>
                <w:color w:val="auto"/>
                <w:sz w:val="22"/>
              </w:rPr>
              <w:t>Langage backend</w:t>
            </w:r>
          </w:p>
        </w:tc>
      </w:tr>
      <w:tr w14:paraId="550AE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04AC72D8">
            <w:pPr>
              <w:spacing w:after="0" w:line="240" w:lineRule="auto"/>
              <w:rPr>
                <w:color w:val="auto"/>
              </w:rPr>
            </w:pPr>
            <w:r>
              <w:rPr>
                <w:rFonts w:ascii="Times New Roman" w:hAnsi="Times New Roman"/>
                <w:b w:val="0"/>
                <w:i w:val="0"/>
                <w:color w:val="auto"/>
                <w:sz w:val="22"/>
              </w:rPr>
              <w:t>FastAPI</w:t>
            </w:r>
          </w:p>
        </w:tc>
        <w:tc>
          <w:tcPr>
            <w:tcW w:w="3041" w:type="dxa"/>
          </w:tcPr>
          <w:p w14:paraId="68ABBEA2">
            <w:pPr>
              <w:spacing w:after="0" w:line="240" w:lineRule="auto"/>
              <w:rPr>
                <w:color w:val="auto"/>
              </w:rPr>
            </w:pPr>
            <w:r>
              <w:rPr>
                <w:rFonts w:ascii="Times New Roman" w:hAnsi="Times New Roman"/>
                <w:b w:val="0"/>
                <w:i w:val="0"/>
                <w:color w:val="auto"/>
                <w:sz w:val="22"/>
              </w:rPr>
              <w:t>0.115</w:t>
            </w:r>
          </w:p>
        </w:tc>
        <w:tc>
          <w:tcPr>
            <w:tcW w:w="3041" w:type="dxa"/>
          </w:tcPr>
          <w:p w14:paraId="5DDED13C">
            <w:pPr>
              <w:spacing w:after="0" w:line="240" w:lineRule="auto"/>
              <w:rPr>
                <w:color w:val="auto"/>
              </w:rPr>
            </w:pPr>
            <w:r>
              <w:rPr>
                <w:rFonts w:ascii="Times New Roman" w:hAnsi="Times New Roman"/>
                <w:b w:val="0"/>
                <w:i w:val="0"/>
                <w:color w:val="auto"/>
                <w:sz w:val="22"/>
              </w:rPr>
              <w:t>Framework API REST</w:t>
            </w:r>
          </w:p>
        </w:tc>
      </w:tr>
      <w:tr w14:paraId="08047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537625C3">
            <w:pPr>
              <w:spacing w:after="0" w:line="240" w:lineRule="auto"/>
              <w:rPr>
                <w:color w:val="auto"/>
              </w:rPr>
            </w:pPr>
            <w:r>
              <w:rPr>
                <w:rFonts w:ascii="Times New Roman" w:hAnsi="Times New Roman"/>
                <w:b w:val="0"/>
                <w:i w:val="0"/>
                <w:color w:val="auto"/>
                <w:sz w:val="22"/>
              </w:rPr>
              <w:t>SQLAlchemy</w:t>
            </w:r>
          </w:p>
        </w:tc>
        <w:tc>
          <w:tcPr>
            <w:tcW w:w="3041" w:type="dxa"/>
          </w:tcPr>
          <w:p w14:paraId="51155032">
            <w:pPr>
              <w:spacing w:after="0" w:line="240" w:lineRule="auto"/>
              <w:rPr>
                <w:color w:val="auto"/>
              </w:rPr>
            </w:pPr>
            <w:r>
              <w:rPr>
                <w:rFonts w:ascii="Times New Roman" w:hAnsi="Times New Roman"/>
                <w:b w:val="0"/>
                <w:i w:val="0"/>
                <w:color w:val="auto"/>
                <w:sz w:val="22"/>
              </w:rPr>
              <w:t>2.0</w:t>
            </w:r>
          </w:p>
        </w:tc>
        <w:tc>
          <w:tcPr>
            <w:tcW w:w="3041" w:type="dxa"/>
          </w:tcPr>
          <w:p w14:paraId="2A98200F">
            <w:pPr>
              <w:spacing w:after="0" w:line="240" w:lineRule="auto"/>
              <w:rPr>
                <w:color w:val="auto"/>
              </w:rPr>
            </w:pPr>
            <w:r>
              <w:rPr>
                <w:rFonts w:ascii="Times New Roman" w:hAnsi="Times New Roman"/>
                <w:b w:val="0"/>
                <w:i w:val="0"/>
                <w:color w:val="auto"/>
                <w:sz w:val="22"/>
              </w:rPr>
              <w:t>ORM relationnel</w:t>
            </w:r>
          </w:p>
        </w:tc>
      </w:tr>
      <w:tr w14:paraId="6CD37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3BE19B41">
            <w:pPr>
              <w:spacing w:after="0" w:line="240" w:lineRule="auto"/>
              <w:rPr>
                <w:color w:val="auto"/>
              </w:rPr>
            </w:pPr>
            <w:r>
              <w:rPr>
                <w:rFonts w:ascii="Times New Roman" w:hAnsi="Times New Roman"/>
                <w:b w:val="0"/>
                <w:i w:val="0"/>
                <w:color w:val="auto"/>
                <w:sz w:val="22"/>
              </w:rPr>
              <w:t>Alembic</w:t>
            </w:r>
          </w:p>
        </w:tc>
        <w:tc>
          <w:tcPr>
            <w:tcW w:w="3041" w:type="dxa"/>
          </w:tcPr>
          <w:p w14:paraId="6ECC6C89">
            <w:pPr>
              <w:spacing w:after="0" w:line="240" w:lineRule="auto"/>
              <w:rPr>
                <w:color w:val="auto"/>
              </w:rPr>
            </w:pPr>
            <w:r>
              <w:rPr>
                <w:rFonts w:ascii="Times New Roman" w:hAnsi="Times New Roman"/>
                <w:b w:val="0"/>
                <w:i w:val="0"/>
                <w:color w:val="auto"/>
                <w:sz w:val="22"/>
              </w:rPr>
              <w:t>1.13</w:t>
            </w:r>
          </w:p>
        </w:tc>
        <w:tc>
          <w:tcPr>
            <w:tcW w:w="3041" w:type="dxa"/>
          </w:tcPr>
          <w:p w14:paraId="23B20493">
            <w:pPr>
              <w:spacing w:after="0" w:line="240" w:lineRule="auto"/>
              <w:rPr>
                <w:color w:val="auto"/>
              </w:rPr>
            </w:pPr>
            <w:r>
              <w:rPr>
                <w:rFonts w:ascii="Times New Roman" w:hAnsi="Times New Roman"/>
                <w:b w:val="0"/>
                <w:i w:val="0"/>
                <w:color w:val="auto"/>
                <w:sz w:val="22"/>
              </w:rPr>
              <w:t>Migrations de schéma</w:t>
            </w:r>
          </w:p>
        </w:tc>
      </w:tr>
      <w:tr w14:paraId="4F321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2F6C6F8E">
            <w:pPr>
              <w:spacing w:after="0" w:line="240" w:lineRule="auto"/>
              <w:rPr>
                <w:color w:val="auto"/>
              </w:rPr>
            </w:pPr>
            <w:r>
              <w:rPr>
                <w:rFonts w:ascii="Times New Roman" w:hAnsi="Times New Roman"/>
                <w:b w:val="0"/>
                <w:i w:val="0"/>
                <w:color w:val="auto"/>
                <w:sz w:val="22"/>
              </w:rPr>
              <w:t>Pydantic</w:t>
            </w:r>
          </w:p>
        </w:tc>
        <w:tc>
          <w:tcPr>
            <w:tcW w:w="3041" w:type="dxa"/>
          </w:tcPr>
          <w:p w14:paraId="26A9C586">
            <w:pPr>
              <w:spacing w:after="0" w:line="240" w:lineRule="auto"/>
              <w:rPr>
                <w:color w:val="auto"/>
              </w:rPr>
            </w:pPr>
            <w:r>
              <w:rPr>
                <w:rFonts w:ascii="Times New Roman" w:hAnsi="Times New Roman"/>
                <w:b w:val="0"/>
                <w:i w:val="0"/>
                <w:color w:val="auto"/>
                <w:sz w:val="22"/>
              </w:rPr>
              <w:t>v2</w:t>
            </w:r>
          </w:p>
        </w:tc>
        <w:tc>
          <w:tcPr>
            <w:tcW w:w="3041" w:type="dxa"/>
          </w:tcPr>
          <w:p w14:paraId="669F88DD">
            <w:pPr>
              <w:spacing w:after="0" w:line="240" w:lineRule="auto"/>
              <w:rPr>
                <w:color w:val="auto"/>
              </w:rPr>
            </w:pPr>
            <w:r>
              <w:rPr>
                <w:rFonts w:ascii="Times New Roman" w:hAnsi="Times New Roman"/>
                <w:b w:val="0"/>
                <w:i w:val="0"/>
                <w:color w:val="auto"/>
                <w:sz w:val="22"/>
              </w:rPr>
              <w:t>Validation des données</w:t>
            </w:r>
          </w:p>
        </w:tc>
      </w:tr>
      <w:tr w14:paraId="2BBC2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488CEADB">
            <w:pPr>
              <w:spacing w:after="0" w:line="240" w:lineRule="auto"/>
              <w:rPr>
                <w:color w:val="auto"/>
              </w:rPr>
            </w:pPr>
            <w:r>
              <w:rPr>
                <w:rFonts w:ascii="Times New Roman" w:hAnsi="Times New Roman"/>
                <w:b w:val="0"/>
                <w:i w:val="0"/>
                <w:color w:val="auto"/>
                <w:sz w:val="22"/>
              </w:rPr>
              <w:t>Node.js</w:t>
            </w:r>
          </w:p>
        </w:tc>
        <w:tc>
          <w:tcPr>
            <w:tcW w:w="3041" w:type="dxa"/>
          </w:tcPr>
          <w:p w14:paraId="5DC7EEE8">
            <w:pPr>
              <w:spacing w:after="0" w:line="240" w:lineRule="auto"/>
              <w:rPr>
                <w:color w:val="auto"/>
              </w:rPr>
            </w:pPr>
            <w:r>
              <w:rPr>
                <w:rFonts w:ascii="Times New Roman" w:hAnsi="Times New Roman"/>
                <w:b w:val="0"/>
                <w:i w:val="0"/>
                <w:color w:val="auto"/>
                <w:sz w:val="22"/>
              </w:rPr>
              <w:t>20 LTS</w:t>
            </w:r>
          </w:p>
        </w:tc>
        <w:tc>
          <w:tcPr>
            <w:tcW w:w="3041" w:type="dxa"/>
          </w:tcPr>
          <w:p w14:paraId="7D28FF36">
            <w:pPr>
              <w:spacing w:after="0" w:line="240" w:lineRule="auto"/>
              <w:rPr>
                <w:color w:val="auto"/>
              </w:rPr>
            </w:pPr>
            <w:r>
              <w:rPr>
                <w:rFonts w:ascii="Times New Roman" w:hAnsi="Times New Roman"/>
                <w:b w:val="0"/>
                <w:i w:val="0"/>
                <w:color w:val="auto"/>
                <w:sz w:val="22"/>
              </w:rPr>
              <w:t>Runtime frontend</w:t>
            </w:r>
          </w:p>
        </w:tc>
      </w:tr>
      <w:tr w14:paraId="07991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266310A8">
            <w:pPr>
              <w:spacing w:after="0" w:line="240" w:lineRule="auto"/>
              <w:rPr>
                <w:color w:val="auto"/>
              </w:rPr>
            </w:pPr>
            <w:r>
              <w:rPr>
                <w:rFonts w:ascii="Times New Roman" w:hAnsi="Times New Roman"/>
                <w:b w:val="0"/>
                <w:i w:val="0"/>
                <w:color w:val="auto"/>
                <w:sz w:val="22"/>
              </w:rPr>
              <w:t>Next.js (RH)</w:t>
            </w:r>
          </w:p>
        </w:tc>
        <w:tc>
          <w:tcPr>
            <w:tcW w:w="3041" w:type="dxa"/>
          </w:tcPr>
          <w:p w14:paraId="128B9B2B">
            <w:pPr>
              <w:spacing w:after="0" w:line="240" w:lineRule="auto"/>
              <w:rPr>
                <w:color w:val="auto"/>
              </w:rPr>
            </w:pPr>
            <w:r>
              <w:rPr>
                <w:rFonts w:ascii="Times New Roman" w:hAnsi="Times New Roman"/>
                <w:b w:val="0"/>
                <w:i w:val="0"/>
                <w:color w:val="auto"/>
                <w:sz w:val="22"/>
              </w:rPr>
              <w:t>15</w:t>
            </w:r>
          </w:p>
        </w:tc>
        <w:tc>
          <w:tcPr>
            <w:tcW w:w="3041" w:type="dxa"/>
          </w:tcPr>
          <w:p w14:paraId="179DD78E">
            <w:pPr>
              <w:spacing w:after="0" w:line="240" w:lineRule="auto"/>
              <w:rPr>
                <w:color w:val="auto"/>
              </w:rPr>
            </w:pPr>
            <w:r>
              <w:rPr>
                <w:rFonts w:ascii="Times New Roman" w:hAnsi="Times New Roman"/>
                <w:b w:val="0"/>
                <w:i w:val="0"/>
                <w:color w:val="auto"/>
                <w:sz w:val="22"/>
              </w:rPr>
              <w:t>Framework frontend RH</w:t>
            </w:r>
          </w:p>
        </w:tc>
      </w:tr>
      <w:tr w14:paraId="24AF7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6085458B">
            <w:pPr>
              <w:spacing w:after="0" w:line="240" w:lineRule="auto"/>
              <w:rPr>
                <w:color w:val="auto"/>
              </w:rPr>
            </w:pPr>
            <w:r>
              <w:rPr>
                <w:rFonts w:ascii="Times New Roman" w:hAnsi="Times New Roman"/>
                <w:b w:val="0"/>
                <w:i w:val="0"/>
                <w:color w:val="auto"/>
                <w:sz w:val="22"/>
              </w:rPr>
              <w:t>Next.js (LMS)</w:t>
            </w:r>
          </w:p>
        </w:tc>
        <w:tc>
          <w:tcPr>
            <w:tcW w:w="3041" w:type="dxa"/>
          </w:tcPr>
          <w:p w14:paraId="1838B4C8">
            <w:pPr>
              <w:spacing w:after="0" w:line="240" w:lineRule="auto"/>
              <w:rPr>
                <w:color w:val="auto"/>
              </w:rPr>
            </w:pPr>
            <w:r>
              <w:rPr>
                <w:rFonts w:ascii="Times New Roman" w:hAnsi="Times New Roman"/>
                <w:b w:val="0"/>
                <w:i w:val="0"/>
                <w:color w:val="auto"/>
                <w:sz w:val="22"/>
              </w:rPr>
              <w:t>16</w:t>
            </w:r>
          </w:p>
        </w:tc>
        <w:tc>
          <w:tcPr>
            <w:tcW w:w="3041" w:type="dxa"/>
          </w:tcPr>
          <w:p w14:paraId="22DDF290">
            <w:pPr>
              <w:spacing w:after="0" w:line="240" w:lineRule="auto"/>
              <w:rPr>
                <w:color w:val="auto"/>
              </w:rPr>
            </w:pPr>
            <w:r>
              <w:rPr>
                <w:rFonts w:ascii="Times New Roman" w:hAnsi="Times New Roman"/>
                <w:b w:val="0"/>
                <w:i w:val="0"/>
                <w:color w:val="auto"/>
                <w:sz w:val="22"/>
              </w:rPr>
              <w:t>Framework frontend LMS</w:t>
            </w:r>
          </w:p>
        </w:tc>
      </w:tr>
      <w:tr w14:paraId="2F7BB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3908EAFF">
            <w:pPr>
              <w:spacing w:after="0" w:line="240" w:lineRule="auto"/>
              <w:rPr>
                <w:color w:val="auto"/>
              </w:rPr>
            </w:pPr>
            <w:r>
              <w:rPr>
                <w:rFonts w:ascii="Times New Roman" w:hAnsi="Times New Roman"/>
                <w:b w:val="0"/>
                <w:i w:val="0"/>
                <w:color w:val="auto"/>
                <w:sz w:val="22"/>
              </w:rPr>
              <w:t>Tailwind CSS</w:t>
            </w:r>
          </w:p>
        </w:tc>
        <w:tc>
          <w:tcPr>
            <w:tcW w:w="3041" w:type="dxa"/>
          </w:tcPr>
          <w:p w14:paraId="39C63845">
            <w:pPr>
              <w:spacing w:after="0" w:line="240" w:lineRule="auto"/>
              <w:rPr>
                <w:color w:val="auto"/>
              </w:rPr>
            </w:pPr>
            <w:r>
              <w:rPr>
                <w:rFonts w:ascii="Times New Roman" w:hAnsi="Times New Roman"/>
                <w:b w:val="0"/>
                <w:i w:val="0"/>
                <w:color w:val="auto"/>
                <w:sz w:val="22"/>
              </w:rPr>
              <w:t>v3 / v4</w:t>
            </w:r>
          </w:p>
        </w:tc>
        <w:tc>
          <w:tcPr>
            <w:tcW w:w="3041" w:type="dxa"/>
          </w:tcPr>
          <w:p w14:paraId="5702C827">
            <w:pPr>
              <w:spacing w:after="0" w:line="240" w:lineRule="auto"/>
              <w:rPr>
                <w:color w:val="auto"/>
              </w:rPr>
            </w:pPr>
            <w:r>
              <w:rPr>
                <w:rFonts w:ascii="Times New Roman" w:hAnsi="Times New Roman"/>
                <w:b w:val="0"/>
                <w:i w:val="0"/>
                <w:color w:val="auto"/>
                <w:sz w:val="22"/>
              </w:rPr>
              <w:t>Framework CSS</w:t>
            </w:r>
          </w:p>
        </w:tc>
      </w:tr>
      <w:tr w14:paraId="69F96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42D72D13">
            <w:pPr>
              <w:spacing w:after="0" w:line="240" w:lineRule="auto"/>
              <w:rPr>
                <w:color w:val="auto"/>
              </w:rPr>
            </w:pPr>
            <w:r>
              <w:rPr>
                <w:rFonts w:ascii="Times New Roman" w:hAnsi="Times New Roman"/>
                <w:b w:val="0"/>
                <w:i w:val="0"/>
                <w:color w:val="auto"/>
                <w:sz w:val="22"/>
              </w:rPr>
              <w:t>Zustand</w:t>
            </w:r>
          </w:p>
        </w:tc>
        <w:tc>
          <w:tcPr>
            <w:tcW w:w="3041" w:type="dxa"/>
          </w:tcPr>
          <w:p w14:paraId="611C0F88">
            <w:pPr>
              <w:spacing w:after="0" w:line="240" w:lineRule="auto"/>
              <w:rPr>
                <w:color w:val="auto"/>
              </w:rPr>
            </w:pPr>
            <w:r>
              <w:rPr>
                <w:rFonts w:ascii="Times New Roman" w:hAnsi="Times New Roman"/>
                <w:b w:val="0"/>
                <w:i w:val="0"/>
                <w:color w:val="auto"/>
                <w:sz w:val="22"/>
              </w:rPr>
              <w:t>5</w:t>
            </w:r>
          </w:p>
        </w:tc>
        <w:tc>
          <w:tcPr>
            <w:tcW w:w="3041" w:type="dxa"/>
          </w:tcPr>
          <w:p w14:paraId="372AD28D">
            <w:pPr>
              <w:spacing w:after="0" w:line="240" w:lineRule="auto"/>
              <w:rPr>
                <w:color w:val="auto"/>
              </w:rPr>
            </w:pPr>
            <w:r>
              <w:rPr>
                <w:rFonts w:ascii="Times New Roman" w:hAnsi="Times New Roman"/>
                <w:b w:val="0"/>
                <w:i w:val="0"/>
                <w:color w:val="auto"/>
                <w:sz w:val="22"/>
              </w:rPr>
              <w:t>Gestion d'état global</w:t>
            </w:r>
          </w:p>
        </w:tc>
      </w:tr>
      <w:tr w14:paraId="360D8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6276A6FD">
            <w:pPr>
              <w:spacing w:after="0" w:line="240" w:lineRule="auto"/>
              <w:rPr>
                <w:color w:val="auto"/>
              </w:rPr>
            </w:pPr>
            <w:r>
              <w:rPr>
                <w:rFonts w:ascii="Times New Roman" w:hAnsi="Times New Roman"/>
                <w:b w:val="0"/>
                <w:i w:val="0"/>
                <w:color w:val="auto"/>
                <w:sz w:val="22"/>
              </w:rPr>
              <w:t>PostgreSQL</w:t>
            </w:r>
          </w:p>
        </w:tc>
        <w:tc>
          <w:tcPr>
            <w:tcW w:w="3041" w:type="dxa"/>
          </w:tcPr>
          <w:p w14:paraId="0EE01BEE">
            <w:pPr>
              <w:spacing w:after="0" w:line="240" w:lineRule="auto"/>
              <w:rPr>
                <w:color w:val="auto"/>
              </w:rPr>
            </w:pPr>
            <w:r>
              <w:rPr>
                <w:rFonts w:ascii="Times New Roman" w:hAnsi="Times New Roman"/>
                <w:b w:val="0"/>
                <w:i w:val="0"/>
                <w:color w:val="auto"/>
                <w:sz w:val="22"/>
              </w:rPr>
              <w:t>16</w:t>
            </w:r>
          </w:p>
        </w:tc>
        <w:tc>
          <w:tcPr>
            <w:tcW w:w="3041" w:type="dxa"/>
          </w:tcPr>
          <w:p w14:paraId="009D1C5F">
            <w:pPr>
              <w:spacing w:after="0" w:line="240" w:lineRule="auto"/>
              <w:rPr>
                <w:color w:val="auto"/>
              </w:rPr>
            </w:pPr>
            <w:r>
              <w:rPr>
                <w:rFonts w:ascii="Times New Roman" w:hAnsi="Times New Roman"/>
                <w:b w:val="0"/>
                <w:i w:val="0"/>
                <w:color w:val="auto"/>
                <w:sz w:val="22"/>
              </w:rPr>
              <w:t>Base de données relationnelle</w:t>
            </w:r>
          </w:p>
        </w:tc>
      </w:tr>
      <w:tr w14:paraId="6B2B6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76115757">
            <w:pPr>
              <w:spacing w:after="0" w:line="240" w:lineRule="auto"/>
              <w:rPr>
                <w:color w:val="auto"/>
              </w:rPr>
            </w:pPr>
            <w:r>
              <w:rPr>
                <w:rFonts w:ascii="Times New Roman" w:hAnsi="Times New Roman"/>
                <w:b w:val="0"/>
                <w:i w:val="0"/>
                <w:color w:val="auto"/>
                <w:sz w:val="22"/>
              </w:rPr>
              <w:t>MongoDB Atlas</w:t>
            </w:r>
          </w:p>
        </w:tc>
        <w:tc>
          <w:tcPr>
            <w:tcW w:w="3041" w:type="dxa"/>
          </w:tcPr>
          <w:p w14:paraId="5D948FCC">
            <w:pPr>
              <w:spacing w:after="0" w:line="240" w:lineRule="auto"/>
              <w:rPr>
                <w:color w:val="auto"/>
              </w:rPr>
            </w:pPr>
            <w:r>
              <w:rPr>
                <w:rFonts w:ascii="Times New Roman" w:hAnsi="Times New Roman"/>
                <w:b w:val="0"/>
                <w:i w:val="0"/>
                <w:color w:val="auto"/>
                <w:sz w:val="22"/>
              </w:rPr>
              <w:t>Cloud</w:t>
            </w:r>
          </w:p>
        </w:tc>
        <w:tc>
          <w:tcPr>
            <w:tcW w:w="3041" w:type="dxa"/>
          </w:tcPr>
          <w:p w14:paraId="5AE25F29">
            <w:pPr>
              <w:spacing w:after="0" w:line="240" w:lineRule="auto"/>
              <w:rPr>
                <w:color w:val="auto"/>
              </w:rPr>
            </w:pPr>
            <w:r>
              <w:rPr>
                <w:rFonts w:ascii="Times New Roman" w:hAnsi="Times New Roman"/>
                <w:b w:val="0"/>
                <w:i w:val="0"/>
                <w:color w:val="auto"/>
                <w:sz w:val="22"/>
              </w:rPr>
              <w:t>Base de données documentaire LMS</w:t>
            </w:r>
          </w:p>
        </w:tc>
      </w:tr>
      <w:tr w14:paraId="2B042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1360AEBD">
            <w:pPr>
              <w:spacing w:after="0" w:line="240" w:lineRule="auto"/>
              <w:rPr>
                <w:color w:val="auto"/>
              </w:rPr>
            </w:pPr>
            <w:r>
              <w:rPr>
                <w:rFonts w:ascii="Times New Roman" w:hAnsi="Times New Roman"/>
                <w:b w:val="0"/>
                <w:i w:val="0"/>
                <w:color w:val="auto"/>
                <w:sz w:val="22"/>
              </w:rPr>
              <w:t>python-jose</w:t>
            </w:r>
          </w:p>
        </w:tc>
        <w:tc>
          <w:tcPr>
            <w:tcW w:w="3041" w:type="dxa"/>
          </w:tcPr>
          <w:p w14:paraId="181E5080">
            <w:pPr>
              <w:spacing w:after="0" w:line="240" w:lineRule="auto"/>
              <w:rPr>
                <w:color w:val="auto"/>
              </w:rPr>
            </w:pPr>
            <w:r>
              <w:rPr>
                <w:rFonts w:ascii="Times New Roman" w:hAnsi="Times New Roman"/>
                <w:b w:val="0"/>
                <w:i w:val="0"/>
                <w:color w:val="auto"/>
                <w:sz w:val="22"/>
              </w:rPr>
              <w:t>3.3</w:t>
            </w:r>
          </w:p>
        </w:tc>
        <w:tc>
          <w:tcPr>
            <w:tcW w:w="3041" w:type="dxa"/>
          </w:tcPr>
          <w:p w14:paraId="3078460E">
            <w:pPr>
              <w:spacing w:after="0" w:line="240" w:lineRule="auto"/>
              <w:rPr>
                <w:color w:val="auto"/>
              </w:rPr>
            </w:pPr>
            <w:r>
              <w:rPr>
                <w:rFonts w:ascii="Times New Roman" w:hAnsi="Times New Roman"/>
                <w:b w:val="0"/>
                <w:i w:val="0"/>
                <w:color w:val="auto"/>
                <w:sz w:val="22"/>
              </w:rPr>
              <w:t>Génération et vérification JWT</w:t>
            </w:r>
          </w:p>
        </w:tc>
      </w:tr>
      <w:tr w14:paraId="0CB0B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43AEF75C">
            <w:pPr>
              <w:spacing w:after="0" w:line="240" w:lineRule="auto"/>
              <w:rPr>
                <w:color w:val="auto"/>
              </w:rPr>
            </w:pPr>
            <w:r>
              <w:rPr>
                <w:rFonts w:ascii="Times New Roman" w:hAnsi="Times New Roman"/>
                <w:b w:val="0"/>
                <w:i w:val="0"/>
                <w:color w:val="auto"/>
                <w:sz w:val="22"/>
              </w:rPr>
              <w:t>bcrypt / passlib</w:t>
            </w:r>
          </w:p>
        </w:tc>
        <w:tc>
          <w:tcPr>
            <w:tcW w:w="3041" w:type="dxa"/>
          </w:tcPr>
          <w:p w14:paraId="4F7BA650">
            <w:pPr>
              <w:spacing w:after="0" w:line="240" w:lineRule="auto"/>
              <w:rPr>
                <w:color w:val="auto"/>
              </w:rPr>
            </w:pPr>
            <w:r>
              <w:rPr>
                <w:rFonts w:ascii="Times New Roman" w:hAnsi="Times New Roman"/>
                <w:b w:val="0"/>
                <w:i w:val="0"/>
                <w:color w:val="auto"/>
                <w:sz w:val="22"/>
              </w:rPr>
              <w:t>—</w:t>
            </w:r>
          </w:p>
        </w:tc>
        <w:tc>
          <w:tcPr>
            <w:tcW w:w="3041" w:type="dxa"/>
          </w:tcPr>
          <w:p w14:paraId="1A0EEE5A">
            <w:pPr>
              <w:spacing w:after="0" w:line="240" w:lineRule="auto"/>
              <w:rPr>
                <w:color w:val="auto"/>
              </w:rPr>
            </w:pPr>
            <w:r>
              <w:rPr>
                <w:rFonts w:ascii="Times New Roman" w:hAnsi="Times New Roman"/>
                <w:b w:val="0"/>
                <w:i w:val="0"/>
                <w:color w:val="auto"/>
                <w:sz w:val="22"/>
              </w:rPr>
              <w:t>Hachage des mots de passe</w:t>
            </w:r>
          </w:p>
        </w:tc>
      </w:tr>
      <w:tr w14:paraId="15F9C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356E39BE">
            <w:pPr>
              <w:spacing w:after="0" w:line="240" w:lineRule="auto"/>
              <w:rPr>
                <w:color w:val="auto"/>
              </w:rPr>
            </w:pPr>
            <w:r>
              <w:rPr>
                <w:rFonts w:ascii="Times New Roman" w:hAnsi="Times New Roman"/>
                <w:b w:val="0"/>
                <w:i w:val="0"/>
                <w:color w:val="auto"/>
                <w:sz w:val="22"/>
              </w:rPr>
              <w:t>VS Code / Claude Code</w:t>
            </w:r>
          </w:p>
        </w:tc>
        <w:tc>
          <w:tcPr>
            <w:tcW w:w="3041" w:type="dxa"/>
          </w:tcPr>
          <w:p w14:paraId="6D27006D">
            <w:pPr>
              <w:spacing w:after="0" w:line="240" w:lineRule="auto"/>
              <w:rPr>
                <w:color w:val="auto"/>
              </w:rPr>
            </w:pPr>
            <w:r>
              <w:rPr>
                <w:rFonts w:ascii="Times New Roman" w:hAnsi="Times New Roman"/>
                <w:b w:val="0"/>
                <w:i w:val="0"/>
                <w:color w:val="auto"/>
                <w:sz w:val="22"/>
              </w:rPr>
              <w:t>—</w:t>
            </w:r>
          </w:p>
        </w:tc>
        <w:tc>
          <w:tcPr>
            <w:tcW w:w="3041" w:type="dxa"/>
          </w:tcPr>
          <w:p w14:paraId="1CA509D4">
            <w:pPr>
              <w:spacing w:after="0" w:line="240" w:lineRule="auto"/>
              <w:rPr>
                <w:color w:val="auto"/>
              </w:rPr>
            </w:pPr>
            <w:r>
              <w:rPr>
                <w:rFonts w:ascii="Times New Roman" w:hAnsi="Times New Roman"/>
                <w:b w:val="0"/>
                <w:i w:val="0"/>
                <w:color w:val="auto"/>
                <w:sz w:val="22"/>
              </w:rPr>
              <w:t>IDE et assistant de développement</w:t>
            </w:r>
          </w:p>
        </w:tc>
      </w:tr>
      <w:tr w14:paraId="0BE50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06606677">
            <w:pPr>
              <w:spacing w:after="0" w:line="240" w:lineRule="auto"/>
              <w:rPr>
                <w:color w:val="auto"/>
              </w:rPr>
            </w:pPr>
            <w:r>
              <w:rPr>
                <w:rFonts w:ascii="Times New Roman" w:hAnsi="Times New Roman"/>
                <w:b w:val="0"/>
                <w:i w:val="0"/>
                <w:color w:val="auto"/>
                <w:sz w:val="22"/>
              </w:rPr>
              <w:t>Git</w:t>
            </w:r>
          </w:p>
        </w:tc>
        <w:tc>
          <w:tcPr>
            <w:tcW w:w="3041" w:type="dxa"/>
          </w:tcPr>
          <w:p w14:paraId="366BFAC9">
            <w:pPr>
              <w:spacing w:after="0" w:line="240" w:lineRule="auto"/>
              <w:rPr>
                <w:color w:val="auto"/>
              </w:rPr>
            </w:pPr>
            <w:r>
              <w:rPr>
                <w:rFonts w:ascii="Times New Roman" w:hAnsi="Times New Roman"/>
                <w:b w:val="0"/>
                <w:i w:val="0"/>
                <w:color w:val="auto"/>
                <w:sz w:val="22"/>
              </w:rPr>
              <w:t>2.45</w:t>
            </w:r>
          </w:p>
        </w:tc>
        <w:tc>
          <w:tcPr>
            <w:tcW w:w="3041" w:type="dxa"/>
          </w:tcPr>
          <w:p w14:paraId="0D210592">
            <w:pPr>
              <w:spacing w:after="0" w:line="240" w:lineRule="auto"/>
              <w:rPr>
                <w:color w:val="auto"/>
              </w:rPr>
            </w:pPr>
            <w:r>
              <w:rPr>
                <w:rFonts w:ascii="Times New Roman" w:hAnsi="Times New Roman"/>
                <w:b w:val="0"/>
                <w:i w:val="0"/>
                <w:color w:val="auto"/>
                <w:sz w:val="22"/>
              </w:rPr>
              <w:t>Gestion de version</w:t>
            </w:r>
          </w:p>
        </w:tc>
      </w:tr>
    </w:tbl>
    <w:p w14:paraId="073358A8">
      <w:pPr>
        <w:pStyle w:val="3"/>
        <w:jc w:val="left"/>
        <w:rPr>
          <w:color w:val="auto"/>
        </w:rPr>
      </w:pPr>
      <w:r>
        <w:rPr>
          <w:rFonts w:ascii="Times New Roman" w:hAnsi="Times New Roman"/>
          <w:color w:val="auto"/>
          <w:sz w:val="28"/>
        </w:rPr>
        <w:t>5.2 Structure du projet</w:t>
      </w:r>
    </w:p>
    <w:p w14:paraId="12797D37">
      <w:pPr>
        <w:spacing w:after="120"/>
        <w:ind w:firstLine="567"/>
        <w:jc w:val="both"/>
        <w:rPr>
          <w:color w:val="auto"/>
        </w:rPr>
      </w:pPr>
      <w:r>
        <w:rPr>
          <w:rFonts w:ascii="Times New Roman" w:hAnsi="Times New Roman"/>
          <w:b w:val="0"/>
          <w:i w:val="0"/>
          <w:color w:val="auto"/>
          <w:sz w:val="24"/>
        </w:rPr>
        <w:t>Le dépôt du projet est organisé en trois applications distinctes partageant une racine commune :</w:t>
      </w:r>
    </w:p>
    <w:p w14:paraId="43C4B843">
      <w:pPr>
        <w:pStyle w:val="34"/>
        <w:ind w:left="567"/>
        <w:rPr>
          <w:color w:val="auto"/>
        </w:rPr>
      </w:pPr>
      <w:r>
        <w:rPr>
          <w:rFonts w:ascii="Times New Roman" w:hAnsi="Times New Roman"/>
          <w:b w:val="0"/>
          <w:i w:val="0"/>
          <w:color w:val="auto"/>
          <w:sz w:val="24"/>
        </w:rPr>
        <w:t>backend/ : API FastAPI avec sa structure en couches (api/, models/, services/, core/) et son environnement virtuel Python.</w:t>
      </w:r>
    </w:p>
    <w:p w14:paraId="114DC9E3">
      <w:pPr>
        <w:pStyle w:val="34"/>
        <w:ind w:left="567"/>
        <w:rPr>
          <w:color w:val="auto"/>
        </w:rPr>
      </w:pPr>
      <w:r>
        <w:rPr>
          <w:rFonts w:ascii="Times New Roman" w:hAnsi="Times New Roman"/>
          <w:b w:val="0"/>
          <w:i w:val="0"/>
          <w:color w:val="auto"/>
          <w:sz w:val="24"/>
        </w:rPr>
        <w:t>frontend/ : Interface RH Next.js 15, avec les dashboards par rôle sous src/app/dashboard/{recruiter,candidate,employee}/.</w:t>
      </w:r>
    </w:p>
    <w:p w14:paraId="7C4E358B">
      <w:pPr>
        <w:pStyle w:val="34"/>
        <w:ind w:left="567"/>
        <w:rPr>
          <w:color w:val="auto"/>
        </w:rPr>
      </w:pPr>
      <w:r>
        <w:rPr>
          <w:rFonts w:ascii="Times New Roman" w:hAnsi="Times New Roman"/>
          <w:b w:val="0"/>
          <w:i w:val="0"/>
          <w:color w:val="auto"/>
          <w:sz w:val="24"/>
        </w:rPr>
        <w:t>lms/ : Plateforme pédagogique Next.js 16, avec ses modèles Mongoose sous lms/models/ et ses routes API sous lms/app/api/.</w:t>
      </w:r>
    </w:p>
    <w:p w14:paraId="03158DC7">
      <w:pPr>
        <w:spacing w:after="120"/>
        <w:ind w:firstLine="567"/>
        <w:jc w:val="both"/>
        <w:rPr>
          <w:color w:val="auto"/>
        </w:rPr>
      </w:pPr>
      <w:r>
        <w:rPr>
          <w:rFonts w:ascii="Times New Roman" w:hAnsi="Times New Roman"/>
          <w:b w:val="0"/>
          <w:i w:val="0"/>
          <w:color w:val="auto"/>
          <w:sz w:val="24"/>
        </w:rPr>
        <w:t>Cette organisation en monorepo simplifie la gestion des versions et facilite les échanges de configuration partagée (notamment la clé secrète JWT).</w:t>
      </w:r>
    </w:p>
    <w:p w14:paraId="7FBC8832">
      <w:pPr>
        <w:pStyle w:val="3"/>
        <w:jc w:val="left"/>
        <w:rPr>
          <w:color w:val="auto"/>
        </w:rPr>
      </w:pPr>
      <w:r>
        <w:rPr>
          <w:rFonts w:ascii="Times New Roman" w:hAnsi="Times New Roman"/>
          <w:color w:val="auto"/>
          <w:sz w:val="28"/>
        </w:rPr>
        <w:t>5.3 Module ATS – Recrutement externe</w:t>
      </w:r>
    </w:p>
    <w:p w14:paraId="198FDCD7">
      <w:pPr>
        <w:pStyle w:val="4"/>
        <w:rPr>
          <w:color w:val="auto"/>
        </w:rPr>
      </w:pPr>
      <w:r>
        <w:rPr>
          <w:rFonts w:ascii="Times New Roman" w:hAnsi="Times New Roman"/>
          <w:b/>
          <w:color w:val="auto"/>
          <w:sz w:val="24"/>
        </w:rPr>
        <w:t>5.3.1 Gestion des offres d'emploi</w:t>
      </w:r>
    </w:p>
    <w:p w14:paraId="73EE062A">
      <w:pPr>
        <w:spacing w:after="120"/>
        <w:ind w:firstLine="567"/>
        <w:jc w:val="both"/>
        <w:rPr>
          <w:color w:val="auto"/>
        </w:rPr>
      </w:pPr>
      <w:r>
        <w:rPr>
          <w:rFonts w:ascii="Times New Roman" w:hAnsi="Times New Roman"/>
          <w:b w:val="0"/>
          <w:i w:val="0"/>
          <w:color w:val="auto"/>
          <w:sz w:val="24"/>
        </w:rPr>
        <w:t>Le module ATS permet aux recruteurs de créer et publier des offres d'emploi enrichies. Chaque offre comprend : titre, description, secteur d'activité, localisation, type de contrat, fourchette salariale, et surtout la liste des compétences requises avec leur niveau minimum (1-4) et leur caractère obligatoire ou optionnel. Cette structuration fine des exigences de compétences est le point d'entrée du moteur de matching.</w:t>
      </w:r>
    </w:p>
    <w:p w14:paraId="1920EDF1">
      <w:pPr>
        <w:spacing w:after="120"/>
        <w:ind w:firstLine="567"/>
        <w:jc w:val="both"/>
        <w:rPr>
          <w:color w:val="auto"/>
        </w:rPr>
      </w:pPr>
      <w:r>
        <w:rPr>
          <w:rFonts w:ascii="Times New Roman" w:hAnsi="Times New Roman"/>
          <w:b w:val="0"/>
          <w:i w:val="0"/>
          <w:color w:val="auto"/>
          <w:sz w:val="24"/>
        </w:rPr>
        <w:t>[INSÉRER ICI : capture d'écran de la page de création/édition d'offre d'emploi]</w:t>
      </w:r>
    </w:p>
    <w:p w14:paraId="3BF1FF8E">
      <w:pPr>
        <w:pStyle w:val="4"/>
        <w:rPr>
          <w:color w:val="auto"/>
        </w:rPr>
      </w:pPr>
      <w:r>
        <w:rPr>
          <w:rFonts w:ascii="Times New Roman" w:hAnsi="Times New Roman"/>
          <w:b/>
          <w:color w:val="auto"/>
          <w:sz w:val="24"/>
        </w:rPr>
        <w:t>5.3.2 Espace candidat et dépôt de candidature</w:t>
      </w:r>
    </w:p>
    <w:p w14:paraId="4FE9D95D">
      <w:pPr>
        <w:spacing w:after="120"/>
        <w:ind w:firstLine="567"/>
        <w:jc w:val="both"/>
        <w:rPr>
          <w:color w:val="auto"/>
        </w:rPr>
      </w:pPr>
      <w:r>
        <w:rPr>
          <w:rFonts w:ascii="Times New Roman" w:hAnsi="Times New Roman"/>
          <w:b w:val="0"/>
          <w:i w:val="0"/>
          <w:color w:val="auto"/>
          <w:sz w:val="24"/>
        </w:rPr>
        <w:t>Le candidat crée son profil via un onboarding guidé en plusieurs étapes : informations personnelles, niveau d'études, années d'expérience, détail de l'expérience professionnelle, formations et certifications, liste des compétences avec auto-évaluation des niveaux (1-4), et dépôt de CV (PDF). Ce profil structuré permet au moteur de matching d'effectuer une évaluation précise.</w:t>
      </w:r>
    </w:p>
    <w:p w14:paraId="345006BE">
      <w:pPr>
        <w:spacing w:after="120"/>
        <w:ind w:firstLine="567"/>
        <w:jc w:val="both"/>
        <w:rPr>
          <w:color w:val="auto"/>
        </w:rPr>
      </w:pPr>
      <w:r>
        <w:rPr>
          <w:rFonts w:ascii="Times New Roman" w:hAnsi="Times New Roman"/>
          <w:b w:val="0"/>
          <w:i w:val="0"/>
          <w:color w:val="auto"/>
          <w:sz w:val="24"/>
        </w:rPr>
        <w:t>Le candidat peut ensuite postuler aux offres disponibles avec une lettre de motivation, consulter ses candidatures et leur statut en temps réel.</w:t>
      </w:r>
    </w:p>
    <w:p w14:paraId="7FD49B98">
      <w:pPr>
        <w:spacing w:after="120"/>
        <w:ind w:firstLine="567"/>
        <w:jc w:val="both"/>
        <w:rPr>
          <w:color w:val="auto"/>
        </w:rPr>
      </w:pPr>
      <w:r>
        <w:rPr>
          <w:rFonts w:ascii="Times New Roman" w:hAnsi="Times New Roman"/>
          <w:b w:val="0"/>
          <w:i w:val="0"/>
          <w:color w:val="auto"/>
          <w:sz w:val="24"/>
        </w:rPr>
        <w:t>[INSÉRER ICI : captures d'écran de l'onboarding candidat et du tableau de bord des candidatures]</w:t>
      </w:r>
    </w:p>
    <w:p w14:paraId="77A567EE">
      <w:pPr>
        <w:pStyle w:val="4"/>
        <w:rPr>
          <w:color w:val="auto"/>
        </w:rPr>
      </w:pPr>
      <w:r>
        <w:rPr>
          <w:rFonts w:ascii="Times New Roman" w:hAnsi="Times New Roman"/>
          <w:b/>
          <w:color w:val="auto"/>
          <w:sz w:val="24"/>
        </w:rPr>
        <w:t>5.3.3 Tableau de bord Kanban du recruteur</w:t>
      </w:r>
    </w:p>
    <w:p w14:paraId="27285312">
      <w:pPr>
        <w:spacing w:after="120"/>
        <w:ind w:firstLine="567"/>
        <w:jc w:val="both"/>
        <w:rPr>
          <w:color w:val="auto"/>
        </w:rPr>
      </w:pPr>
      <w:r>
        <w:rPr>
          <w:rFonts w:ascii="Times New Roman" w:hAnsi="Times New Roman"/>
          <w:b w:val="0"/>
          <w:i w:val="0"/>
          <w:color w:val="auto"/>
          <w:sz w:val="24"/>
        </w:rPr>
        <w:t>Le recruteur dispose d'un tableau de bord Kanban à colonnes glissantes (Drag &amp; Drop) pour piloter ses pipelines de recrutement. Chaque colonne correspond à un statut de candidature : En attente, En cours, Entretien, Accepté, Refusé. Les cartes candidat affichent le score de fit, la recommandation (STRONG_FIT/POTENTIAL/WEAK_FIT), les compétences clés et le récapitulatif du profil.</w:t>
      </w:r>
    </w:p>
    <w:p w14:paraId="58F70BA2">
      <w:pPr>
        <w:spacing w:after="120"/>
        <w:ind w:firstLine="567"/>
        <w:jc w:val="both"/>
        <w:rPr>
          <w:color w:val="auto"/>
        </w:rPr>
      </w:pPr>
      <w:r>
        <w:rPr>
          <w:rFonts w:ascii="Times New Roman" w:hAnsi="Times New Roman"/>
          <w:b w:val="0"/>
          <w:i w:val="0"/>
          <w:color w:val="auto"/>
          <w:sz w:val="24"/>
        </w:rPr>
        <w:t>Le recruteur peut déplacer les cartes entre colonnes ou utiliser les boutons d'action pour faire avancer les candidatures. Lors du passage au statut ACCEPTED, le système déclenche automatiquement la promotion candidat→employé.</w:t>
      </w:r>
    </w:p>
    <w:p w14:paraId="774AAB88">
      <w:pPr>
        <w:spacing w:after="120"/>
        <w:ind w:firstLine="567"/>
        <w:jc w:val="both"/>
        <w:rPr>
          <w:color w:val="auto"/>
        </w:rPr>
      </w:pPr>
      <w:r>
        <w:rPr>
          <w:rFonts w:ascii="Times New Roman" w:hAnsi="Times New Roman"/>
          <w:b w:val="0"/>
          <w:i w:val="0"/>
          <w:color w:val="auto"/>
          <w:sz w:val="24"/>
        </w:rPr>
        <w:t>[INSÉRER ICI : capture d'écran du Kanban recruteur avec les colonnes et les cartes candidats]</w:t>
      </w:r>
    </w:p>
    <w:p w14:paraId="6E0A6620">
      <w:pPr>
        <w:pStyle w:val="4"/>
        <w:rPr>
          <w:color w:val="auto"/>
        </w:rPr>
      </w:pPr>
      <w:r>
        <w:rPr>
          <w:rFonts w:ascii="Times New Roman" w:hAnsi="Times New Roman"/>
          <w:b/>
          <w:color w:val="auto"/>
          <w:sz w:val="24"/>
        </w:rPr>
        <w:t>5.3.4 Promotion automatique candidat→employé</w:t>
      </w:r>
    </w:p>
    <w:p w14:paraId="48ECA291">
      <w:pPr>
        <w:spacing w:after="120"/>
        <w:ind w:firstLine="567"/>
        <w:jc w:val="both"/>
        <w:rPr>
          <w:color w:val="auto"/>
        </w:rPr>
      </w:pPr>
      <w:r>
        <w:rPr>
          <w:rFonts w:ascii="Times New Roman" w:hAnsi="Times New Roman"/>
          <w:b w:val="0"/>
          <w:i w:val="0"/>
          <w:color w:val="auto"/>
          <w:sz w:val="24"/>
        </w:rPr>
        <w:t>La fonctionnalité de promotion candidat→employé est l'une des innovations clés de RecruitPRO. Lorsqu'un recruteur accepte un candidat, le système exécute automatiquement les opérations suivantes : (1) basculement du rôle système de CANDIDATE à EMPLOYEE dans la table users, (2) création d'une fiche employé (Employee) liée au même user_id que le candidat, avec les données de base extraites du profil candidat (nom, prénom, email, téléphone, niveau d'études, années d'expérience, poste = titre de l'offre), (3) copie des compétences du candidat vers le profil employé. Le profil candidat est conservé intact (même user_id), permettant à l'employé d'y accéder et de le continuer à l'enrichir.</w:t>
      </w:r>
    </w:p>
    <w:p w14:paraId="7B4AF8B7">
      <w:pPr>
        <w:spacing w:after="120"/>
        <w:ind w:firstLine="567"/>
        <w:jc w:val="both"/>
        <w:rPr>
          <w:color w:val="auto"/>
        </w:rPr>
      </w:pPr>
      <w:r>
        <w:rPr>
          <w:rFonts w:ascii="Times New Roman" w:hAnsi="Times New Roman"/>
          <w:b w:val="0"/>
          <w:i w:val="0"/>
          <w:color w:val="auto"/>
          <w:sz w:val="24"/>
        </w:rPr>
        <w:t>Lors de sa prochaine connexion, l'utilisateur est automatiquement redirigé vers le dashboard employé, où il retrouve son profil complet (bio, compétences avec noms, formations, certifications, CV).</w:t>
      </w:r>
    </w:p>
    <w:p w14:paraId="58B705C7">
      <w:pPr>
        <w:pStyle w:val="3"/>
        <w:jc w:val="left"/>
        <w:rPr>
          <w:color w:val="auto"/>
        </w:rPr>
      </w:pPr>
      <w:r>
        <w:rPr>
          <w:rFonts w:ascii="Times New Roman" w:hAnsi="Times New Roman"/>
          <w:color w:val="auto"/>
          <w:sz w:val="28"/>
        </w:rPr>
        <w:t>5.4 Module RH – Espace employé et organisation</w:t>
      </w:r>
    </w:p>
    <w:p w14:paraId="67BBAD76">
      <w:pPr>
        <w:pStyle w:val="4"/>
        <w:rPr>
          <w:color w:val="auto"/>
        </w:rPr>
      </w:pPr>
      <w:r>
        <w:rPr>
          <w:rFonts w:ascii="Times New Roman" w:hAnsi="Times New Roman"/>
          <w:b/>
          <w:color w:val="auto"/>
          <w:sz w:val="24"/>
        </w:rPr>
        <w:t>5.4.1 Tableau de bord employé</w:t>
      </w:r>
    </w:p>
    <w:p w14:paraId="7ABC57D0">
      <w:pPr>
        <w:spacing w:after="120"/>
        <w:ind w:firstLine="567"/>
        <w:jc w:val="both"/>
        <w:rPr>
          <w:color w:val="auto"/>
        </w:rPr>
      </w:pPr>
      <w:r>
        <w:rPr>
          <w:rFonts w:ascii="Times New Roman" w:hAnsi="Times New Roman"/>
          <w:b w:val="0"/>
          <w:i w:val="0"/>
          <w:color w:val="auto"/>
          <w:sz w:val="24"/>
        </w:rPr>
        <w:t>Le tableau de bord employé offre une vue complète du profil professionnel du collaborateur. Il consolide les données issues de son profil candidat (via l'API /api/candidates/me) et de sa fiche employé (via /api/employees/me) pour présenter : les compétences avec leurs niveaux, la biographie professionnelle, le niveau d'études, les années d'expérience, le détail de l'expérience professionnelle, les formations, les certifications et le lien vers le CV. Un bouton « Éditer mon profil » renvoie vers l'onboarding candidat, permettant à l'employé de mettre à jour son profil en continu.</w:t>
      </w:r>
    </w:p>
    <w:p w14:paraId="541E4341">
      <w:pPr>
        <w:spacing w:after="120"/>
        <w:ind w:firstLine="567"/>
        <w:jc w:val="both"/>
        <w:rPr>
          <w:color w:val="auto"/>
        </w:rPr>
      </w:pPr>
      <w:r>
        <w:rPr>
          <w:rFonts w:ascii="Times New Roman" w:hAnsi="Times New Roman"/>
          <w:b w:val="0"/>
          <w:i w:val="0"/>
          <w:color w:val="auto"/>
          <w:sz w:val="24"/>
        </w:rPr>
        <w:t>[INSÉRER ICI : capture d'écran du tableau de bord employé]</w:t>
      </w:r>
    </w:p>
    <w:p w14:paraId="5D4C0A03">
      <w:pPr>
        <w:pStyle w:val="4"/>
        <w:rPr>
          <w:color w:val="auto"/>
        </w:rPr>
      </w:pPr>
      <w:r>
        <w:rPr>
          <w:rFonts w:ascii="Times New Roman" w:hAnsi="Times New Roman"/>
          <w:b/>
          <w:color w:val="auto"/>
          <w:sz w:val="24"/>
        </w:rPr>
        <w:t>5.4.2 Gestion de l'organigramme</w:t>
      </w:r>
    </w:p>
    <w:p w14:paraId="1BAAA38D">
      <w:pPr>
        <w:spacing w:after="120"/>
        <w:ind w:firstLine="567"/>
        <w:jc w:val="both"/>
        <w:rPr>
          <w:color w:val="auto"/>
        </w:rPr>
      </w:pPr>
      <w:r>
        <w:rPr>
          <w:rFonts w:ascii="Times New Roman" w:hAnsi="Times New Roman"/>
          <w:b w:val="0"/>
          <w:i w:val="0"/>
          <w:color w:val="auto"/>
          <w:sz w:val="24"/>
        </w:rPr>
        <w:t>L'espace recruteur/DRH dispose d'un outil de gestion de l'organigramme permettant de créer une hiérarchie d'unités organisationnelles (départements, services, équipes) sous forme d'arbre. Chaque employé peut être rattaché à une unité et se voir attribuer un rôle interne (avec ses permissions associées). L'organigramme est visualisé de manière interactive, permettant au recruteur de naviguer dans la structure et d'effectuer des assignations en quelques clics.</w:t>
      </w:r>
    </w:p>
    <w:p w14:paraId="15F394E4">
      <w:pPr>
        <w:pStyle w:val="4"/>
        <w:rPr>
          <w:color w:val="auto"/>
        </w:rPr>
      </w:pPr>
      <w:r>
        <w:rPr>
          <w:rFonts w:ascii="Times New Roman" w:hAnsi="Times New Roman"/>
          <w:b/>
          <w:color w:val="auto"/>
          <w:sz w:val="24"/>
        </w:rPr>
        <w:t>5.4.3 Mobilité interne</w:t>
      </w:r>
    </w:p>
    <w:p w14:paraId="320AFCAF">
      <w:pPr>
        <w:spacing w:after="120"/>
        <w:ind w:firstLine="567"/>
        <w:jc w:val="both"/>
        <w:rPr>
          <w:color w:val="auto"/>
        </w:rPr>
      </w:pPr>
      <w:r>
        <w:rPr>
          <w:rFonts w:ascii="Times New Roman" w:hAnsi="Times New Roman"/>
          <w:b w:val="0"/>
          <w:i w:val="0"/>
          <w:color w:val="auto"/>
          <w:sz w:val="24"/>
        </w:rPr>
        <w:t>Le module de mobilité interne permet de publier des postes ouverts en interne, avec description, département, localisation et compétences requises. Les employés peuvent consulter ces postes et postuler avec une lettre de motivation. Le recruteur dispose d'un tableau de bord des candidatures internes pour gérer le processus de sélection. L'accès à ce module est ouvert aux employés ET aux recruteurs, grâce au mécanisme de résolution du company_id qui identifie l'entité organisationnelle de l'utilisateur quel que soit son rôle.</w:t>
      </w:r>
    </w:p>
    <w:p w14:paraId="5336E79A">
      <w:pPr>
        <w:spacing w:after="120"/>
        <w:ind w:firstLine="567"/>
        <w:jc w:val="both"/>
        <w:rPr>
          <w:color w:val="auto"/>
        </w:rPr>
      </w:pPr>
      <w:r>
        <w:rPr>
          <w:rFonts w:ascii="Times New Roman" w:hAnsi="Times New Roman"/>
          <w:b w:val="0"/>
          <w:i w:val="0"/>
          <w:color w:val="auto"/>
          <w:sz w:val="24"/>
        </w:rPr>
        <w:t>[INSÉRER ICI : capture d'écran de la page de mobilité interne avec les postes et le formulaire de candidature]</w:t>
      </w:r>
    </w:p>
    <w:p w14:paraId="0882872F">
      <w:pPr>
        <w:pStyle w:val="3"/>
        <w:jc w:val="left"/>
        <w:rPr>
          <w:color w:val="auto"/>
        </w:rPr>
      </w:pPr>
      <w:r>
        <w:rPr>
          <w:rFonts w:ascii="Times New Roman" w:hAnsi="Times New Roman"/>
          <w:color w:val="auto"/>
          <w:sz w:val="28"/>
        </w:rPr>
        <w:t>5.5 Module LMS – Gestion de la formation</w:t>
      </w:r>
    </w:p>
    <w:p w14:paraId="001E8339">
      <w:pPr>
        <w:pStyle w:val="4"/>
        <w:rPr>
          <w:color w:val="auto"/>
        </w:rPr>
      </w:pPr>
      <w:r>
        <w:rPr>
          <w:rFonts w:ascii="Times New Roman" w:hAnsi="Times New Roman"/>
          <w:b/>
          <w:color w:val="auto"/>
          <w:sz w:val="24"/>
        </w:rPr>
        <w:t>5.5.1 Catalogue de cours</w:t>
      </w:r>
    </w:p>
    <w:p w14:paraId="20ECD145">
      <w:pPr>
        <w:spacing w:after="120"/>
        <w:ind w:firstLine="567"/>
        <w:jc w:val="both"/>
        <w:rPr>
          <w:color w:val="auto"/>
        </w:rPr>
      </w:pPr>
      <w:r>
        <w:rPr>
          <w:rFonts w:ascii="Times New Roman" w:hAnsi="Times New Roman"/>
          <w:b w:val="0"/>
          <w:i w:val="0"/>
          <w:color w:val="auto"/>
          <w:sz w:val="24"/>
        </w:rPr>
        <w:t>Le LMS propose un catalogue de cours organisé par catégories et niveaux. Chaque cours comprend des métadonnées (titre, description, niveau, durée estimée, catégorie) et est structuré en modules, eux-mêmes décomposés en sections (contenu textuel, vidéo YouTube embarquée) et quiz. Cette structure hiérarchique flexible permet de couvrir des formats pédagogiques variés, des modules courts (microlearning) aux formations longues certifiantes.</w:t>
      </w:r>
    </w:p>
    <w:p w14:paraId="2B132594">
      <w:pPr>
        <w:spacing w:after="120"/>
        <w:ind w:firstLine="567"/>
        <w:jc w:val="both"/>
        <w:rPr>
          <w:color w:val="auto"/>
        </w:rPr>
      </w:pPr>
      <w:r>
        <w:rPr>
          <w:rFonts w:ascii="Times New Roman" w:hAnsi="Times New Roman"/>
          <w:b w:val="0"/>
          <w:i w:val="0"/>
          <w:color w:val="auto"/>
          <w:sz w:val="24"/>
        </w:rPr>
        <w:t>[INSÉRER ICI : captures d'écran du catalogue de cours et d'une page de cours]</w:t>
      </w:r>
    </w:p>
    <w:p w14:paraId="5369C5B7">
      <w:pPr>
        <w:pStyle w:val="4"/>
        <w:rPr>
          <w:color w:val="auto"/>
        </w:rPr>
      </w:pPr>
      <w:r>
        <w:rPr>
          <w:rFonts w:ascii="Times New Roman" w:hAnsi="Times New Roman"/>
          <w:b/>
          <w:color w:val="auto"/>
          <w:sz w:val="24"/>
        </w:rPr>
        <w:t>5.5.2 Suivi de la progression et quiz</w:t>
      </w:r>
    </w:p>
    <w:p w14:paraId="7863D4ED">
      <w:pPr>
        <w:spacing w:after="120"/>
        <w:ind w:firstLine="567"/>
        <w:jc w:val="both"/>
        <w:rPr>
          <w:color w:val="auto"/>
        </w:rPr>
      </w:pPr>
      <w:r>
        <w:rPr>
          <w:rFonts w:ascii="Times New Roman" w:hAnsi="Times New Roman"/>
          <w:b w:val="0"/>
          <w:i w:val="0"/>
          <w:color w:val="auto"/>
          <w:sz w:val="24"/>
        </w:rPr>
        <w:t>L'apprenant peut suivre sa progression section par section. Les quiz permettent d'évaluer la compréhension à l'issue de chaque module. Le score obtenu est enregistré et contribue à la validation de la complétion du cours. À la complétion, le système envoie une notification au backend RH (via l'endpoint POST /api/lms/course-completed) pour mettre à jour le niveau de la compétence correspondante dans le profil de l'apprenant. Ce mécanisme de synchronisation garantit que les compétences acquises en formation sont immédiatement reflétées dans le profil RH.</w:t>
      </w:r>
    </w:p>
    <w:p w14:paraId="306CFC10">
      <w:pPr>
        <w:pStyle w:val="4"/>
        <w:rPr>
          <w:color w:val="auto"/>
        </w:rPr>
      </w:pPr>
      <w:r>
        <w:rPr>
          <w:rFonts w:ascii="Times New Roman" w:hAnsi="Times New Roman"/>
          <w:b/>
          <w:color w:val="auto"/>
          <w:sz w:val="24"/>
        </w:rPr>
        <w:t>5.5.3 Accès SSO et intégration RH</w:t>
      </w:r>
    </w:p>
    <w:p w14:paraId="224659D6">
      <w:pPr>
        <w:spacing w:after="120"/>
        <w:ind w:firstLine="567"/>
        <w:jc w:val="both"/>
        <w:rPr>
          <w:color w:val="auto"/>
        </w:rPr>
      </w:pPr>
      <w:r>
        <w:rPr>
          <w:rFonts w:ascii="Times New Roman" w:hAnsi="Times New Roman"/>
          <w:b w:val="0"/>
          <w:i w:val="0"/>
          <w:color w:val="auto"/>
          <w:sz w:val="24"/>
        </w:rPr>
        <w:t>Le LMS est accessible depuis l'espace RH sans re-authentification. Depuis son tableau de bord, l'employé clique sur « Accéder à la plateforme de formation » et le LMS s'ouvre dans un nouvel onglet avec son session token préchargé. Le recruteur peut également, depuis l'espace RH, assigner une formation à un employé (endpoint POST /api/trainings/enrollments), qui apparaîtra alors dans le tableau de bord de l'employé concerné.</w:t>
      </w:r>
    </w:p>
    <w:p w14:paraId="21EB44B4">
      <w:pPr>
        <w:pStyle w:val="3"/>
        <w:jc w:val="left"/>
        <w:rPr>
          <w:color w:val="auto"/>
        </w:rPr>
      </w:pPr>
      <w:r>
        <w:rPr>
          <w:rFonts w:ascii="Times New Roman" w:hAnsi="Times New Roman"/>
          <w:color w:val="auto"/>
          <w:sz w:val="28"/>
        </w:rPr>
        <w:t>5.6 Défis techniques rencontrés et solutions apportées</w:t>
      </w:r>
    </w:p>
    <w:p w14:paraId="7D5B3151">
      <w:pPr>
        <w:spacing w:after="120"/>
        <w:ind w:firstLine="567"/>
        <w:jc w:val="both"/>
        <w:rPr>
          <w:color w:val="auto"/>
        </w:rPr>
      </w:pPr>
      <w:r>
        <w:rPr>
          <w:rFonts w:ascii="Times New Roman" w:hAnsi="Times New Roman"/>
          <w:b w:val="0"/>
          <w:i w:val="0"/>
          <w:color w:val="auto"/>
          <w:sz w:val="24"/>
        </w:rPr>
        <w:t>Le développement de RecruitPRO a été l'occasion de rencontrer et de résoudre plusieurs défis techniques significatifs :</w:t>
      </w:r>
    </w:p>
    <w:p w14:paraId="7B28947E">
      <w:pPr>
        <w:spacing w:after="120"/>
        <w:ind w:firstLine="567"/>
        <w:jc w:val="both"/>
        <w:rPr>
          <w:color w:val="auto"/>
        </w:rPr>
      </w:pPr>
      <w:r>
        <w:rPr>
          <w:rFonts w:ascii="Times New Roman" w:hAnsi="Times New Roman"/>
          <w:b w:val="0"/>
          <w:i w:val="0"/>
          <w:color w:val="auto"/>
          <w:sz w:val="24"/>
        </w:rPr>
        <w:t>Défi 1 – Encodage Windows et caractères spéciaux : Le serveur de développement Windows utilise l'encodage cp1252 par défaut, incompatible avec les caractères Unicode (emojis) utilisés dans les logs de débogage. Ce problème provoquait des erreurs 500 lors de certaines opérations (notamment la promotion candidat→employé). La solution a consisté à reconfigurer les flux stdout et stderr de Python en UTF-8 dès le démarrage de l'application (main.py), de manière transparente pour le reste du code.</w:t>
      </w:r>
    </w:p>
    <w:p w14:paraId="20624FB4">
      <w:pPr>
        <w:spacing w:after="120"/>
        <w:ind w:firstLine="567"/>
        <w:jc w:val="both"/>
        <w:rPr>
          <w:color w:val="auto"/>
        </w:rPr>
      </w:pPr>
      <w:r>
        <w:rPr>
          <w:rFonts w:ascii="Times New Roman" w:hAnsi="Times New Roman"/>
          <w:b w:val="0"/>
          <w:i w:val="0"/>
          <w:color w:val="auto"/>
          <w:sz w:val="24"/>
        </w:rPr>
        <w:t>Défi 2 – Alignement des secrets JWT entre services : L'authentification SSO entre le backend et le LMS repose sur une clé secrète partagée. Une divergence entre les clés configurées dans les deux services rendait les tokens illisibles par le LMS. La solution a consisté à aligner la variable d'environnement JWT_SECRET du LMS sur la valeur de SECRET_KEY du backend, avec une procédure de vérification documentée.</w:t>
      </w:r>
    </w:p>
    <w:p w14:paraId="2A3E12A0">
      <w:pPr>
        <w:spacing w:after="120"/>
        <w:ind w:firstLine="567"/>
        <w:jc w:val="both"/>
        <w:rPr>
          <w:color w:val="auto"/>
        </w:rPr>
      </w:pPr>
      <w:r>
        <w:rPr>
          <w:rFonts w:ascii="Times New Roman" w:hAnsi="Times New Roman"/>
          <w:b w:val="0"/>
          <w:i w:val="0"/>
          <w:color w:val="auto"/>
          <w:sz w:val="24"/>
        </w:rPr>
        <w:t>Défi 3 – Double préfixe de routage : Plusieurs routeurs FastAPI définissaient leur préfixe à la fois dans leur constructeur (APIRouter(prefix='/users')) et dans l'inclusion dans main.py (include_router(router, prefix='/api/users')), résultant en des chemins doublés inaccessibles (/api/users/users/me). La correction systématique a consisté à ne définir le préfixe qu'au niveau de include_router(), conformément à la convention du projet.</w:t>
      </w:r>
    </w:p>
    <w:p w14:paraId="5C981AC9">
      <w:pPr>
        <w:spacing w:after="120"/>
        <w:ind w:firstLine="567"/>
        <w:jc w:val="both"/>
        <w:rPr>
          <w:color w:val="auto"/>
        </w:rPr>
      </w:pPr>
      <w:r>
        <w:rPr>
          <w:rFonts w:ascii="Times New Roman" w:hAnsi="Times New Roman"/>
          <w:b w:val="0"/>
          <w:i w:val="0"/>
          <w:color w:val="auto"/>
          <w:sz w:val="24"/>
        </w:rPr>
        <w:t>Défi 4 – Isolation des fonctions par rôle : Les endpoints de mobilité interne et de formations étaient initialement réservés aux recruteurs, bloquant les employés avec une erreur 403. L'ajout d'un helper _resolve_company_id() capable de déduire l'entité organisationnelle depuis le profil recruteur OU employé a résolu ce problème sans modifier la logique métier des endpoints.</w:t>
      </w:r>
    </w:p>
    <w:p w14:paraId="230A30E4">
      <w:pPr>
        <w:rPr>
          <w:color w:val="auto"/>
        </w:rPr>
      </w:pPr>
      <w:r>
        <w:rPr>
          <w:color w:val="auto"/>
        </w:rPr>
        <w:br w:type="page"/>
      </w:r>
    </w:p>
    <w:p w14:paraId="277AB17A">
      <w:pPr>
        <w:pStyle w:val="2"/>
        <w:jc w:val="left"/>
        <w:rPr>
          <w:color w:val="auto"/>
        </w:rPr>
      </w:pPr>
      <w:r>
        <w:rPr>
          <w:rFonts w:ascii="Times New Roman" w:hAnsi="Times New Roman"/>
          <w:color w:val="auto"/>
          <w:sz w:val="32"/>
        </w:rPr>
        <w:t>Chapitre 6 : Tests, sécurité et déploiement</w:t>
      </w:r>
    </w:p>
    <w:p w14:paraId="44A8AF89">
      <w:pPr>
        <w:pStyle w:val="3"/>
        <w:jc w:val="left"/>
        <w:rPr>
          <w:color w:val="auto"/>
        </w:rPr>
      </w:pPr>
      <w:r>
        <w:rPr>
          <w:rFonts w:ascii="Times New Roman" w:hAnsi="Times New Roman"/>
          <w:color w:val="auto"/>
          <w:sz w:val="28"/>
        </w:rPr>
        <w:t>6.1 Stratégie de tests</w:t>
      </w:r>
    </w:p>
    <w:p w14:paraId="7EFFC51A">
      <w:pPr>
        <w:spacing w:after="120"/>
        <w:ind w:firstLine="567"/>
        <w:jc w:val="both"/>
        <w:rPr>
          <w:color w:val="auto"/>
        </w:rPr>
      </w:pPr>
      <w:r>
        <w:rPr>
          <w:rFonts w:ascii="Times New Roman" w:hAnsi="Times New Roman"/>
          <w:b w:val="0"/>
          <w:i w:val="0"/>
          <w:color w:val="auto"/>
          <w:sz w:val="24"/>
        </w:rPr>
        <w:t>La stratégie de tests de RecruitPRO suit la pyramide de tests classique : une base large de tests unitaires, un ensemble de tests d'intégration couvrant les interactions entre composants, et des tests fonctionnels end-to-end validant les parcours utilisateurs complets.</w:t>
      </w:r>
    </w:p>
    <w:p w14:paraId="60F6B4FE">
      <w:pPr>
        <w:pStyle w:val="4"/>
        <w:rPr>
          <w:color w:val="auto"/>
        </w:rPr>
      </w:pPr>
      <w:r>
        <w:rPr>
          <w:rFonts w:ascii="Times New Roman" w:hAnsi="Times New Roman"/>
          <w:b/>
          <w:color w:val="auto"/>
          <w:sz w:val="24"/>
        </w:rPr>
        <w:t>6.1.1 Tests unitaires</w:t>
      </w:r>
    </w:p>
    <w:p w14:paraId="58B4BE86">
      <w:pPr>
        <w:spacing w:after="120"/>
        <w:ind w:firstLine="567"/>
        <w:jc w:val="both"/>
        <w:rPr>
          <w:color w:val="auto"/>
        </w:rPr>
      </w:pPr>
      <w:r>
        <w:rPr>
          <w:rFonts w:ascii="Times New Roman" w:hAnsi="Times New Roman"/>
          <w:b w:val="0"/>
          <w:i w:val="0"/>
          <w:color w:val="auto"/>
          <w:sz w:val="24"/>
        </w:rPr>
        <w:t>Les tests unitaires couvrent principalement la logique métier critique de la plateforme. Le module le plus testé est le moteur de matching (app/services/matching.py), pour lequel une suite de tests unitaires vérifie les cas nominaux et les cas limites : candidat sans compétences, candidat avec toutes les compétences obligatoires manquantes, calcul de la pénalité multiplicative, scores aux bornes (0.0, 1.0). Ces tests sont exécutés avec pytest sur une base de données de test dédiée (PostgreSQL recruitment_test).</w:t>
      </w:r>
    </w:p>
    <w:p w14:paraId="5B6F29B6">
      <w:pPr>
        <w:spacing w:after="120"/>
        <w:ind w:firstLine="567"/>
        <w:jc w:val="both"/>
        <w:rPr>
          <w:color w:val="auto"/>
        </w:rPr>
      </w:pPr>
      <w:r>
        <w:rPr>
          <w:rFonts w:ascii="Times New Roman" w:hAnsi="Times New Roman"/>
          <w:b w:val="0"/>
          <w:i w:val="0"/>
          <w:color w:val="auto"/>
          <w:sz w:val="24"/>
        </w:rPr>
        <w:t>Les marqueurs pytest définis (unit, integration, api, auth, db) permettent d'exécuter des sous-ensembles ciblés de la suite de tests, accélérant les cycles de validation lors du développement.</w:t>
      </w:r>
    </w:p>
    <w:p w14:paraId="32A10D57">
      <w:pPr>
        <w:pStyle w:val="4"/>
        <w:rPr>
          <w:color w:val="auto"/>
        </w:rPr>
      </w:pPr>
      <w:r>
        <w:rPr>
          <w:rFonts w:ascii="Times New Roman" w:hAnsi="Times New Roman"/>
          <w:b/>
          <w:color w:val="auto"/>
          <w:sz w:val="24"/>
        </w:rPr>
        <w:t>6.1.2 Tests d'intégration</w:t>
      </w:r>
    </w:p>
    <w:p w14:paraId="7BCEFE1F">
      <w:pPr>
        <w:spacing w:after="120"/>
        <w:ind w:firstLine="567"/>
        <w:jc w:val="both"/>
        <w:rPr>
          <w:color w:val="auto"/>
        </w:rPr>
      </w:pPr>
      <w:r>
        <w:rPr>
          <w:rFonts w:ascii="Times New Roman" w:hAnsi="Times New Roman"/>
          <w:b w:val="0"/>
          <w:i w:val="0"/>
          <w:color w:val="auto"/>
          <w:sz w:val="24"/>
        </w:rPr>
        <w:t>Les tests d'intégration vérifient les interactions entre les couches de l'application : les endpoints API sont testés avec une base de données réelle (non simulée) pour garantir la cohérence entre le schéma SQLAlchemy et la base PostgreSQL, ainsi que la validité des requêtes ORM complexes (jointures, chargement anticipé). Cette approche a été privilégiée après avoir constaté que les tests avec base de données simulée (mocks) pouvaient masquer des incohérences de schéma.</w:t>
      </w:r>
    </w:p>
    <w:p w14:paraId="7A305013">
      <w:pPr>
        <w:pStyle w:val="4"/>
        <w:rPr>
          <w:color w:val="auto"/>
        </w:rPr>
      </w:pPr>
      <w:r>
        <w:rPr>
          <w:rFonts w:ascii="Times New Roman" w:hAnsi="Times New Roman"/>
          <w:b/>
          <w:color w:val="auto"/>
          <w:sz w:val="24"/>
        </w:rPr>
        <w:t>6.1.3 Tests fonctionnels</w:t>
      </w:r>
    </w:p>
    <w:p w14:paraId="74E9821C">
      <w:pPr>
        <w:spacing w:after="120"/>
        <w:ind w:firstLine="567"/>
        <w:jc w:val="both"/>
        <w:rPr>
          <w:color w:val="auto"/>
        </w:rPr>
      </w:pPr>
      <w:r>
        <w:rPr>
          <w:rFonts w:ascii="Times New Roman" w:hAnsi="Times New Roman"/>
          <w:b w:val="0"/>
          <w:i w:val="0"/>
          <w:color w:val="auto"/>
          <w:sz w:val="24"/>
        </w:rPr>
        <w:t>Des tests fonctionnels end-to-end ont été conduits manuellement en suivant des scénarios de test documentés couvrant les parcours utilisateurs clés :</w:t>
      </w:r>
    </w:p>
    <w:p w14:paraId="22DCB79D">
      <w:pPr>
        <w:pStyle w:val="34"/>
        <w:ind w:left="567"/>
        <w:rPr>
          <w:color w:val="auto"/>
        </w:rPr>
      </w:pPr>
      <w:r>
        <w:rPr>
          <w:rFonts w:ascii="Times New Roman" w:hAnsi="Times New Roman"/>
          <w:b w:val="0"/>
          <w:i w:val="0"/>
          <w:color w:val="auto"/>
          <w:sz w:val="24"/>
        </w:rPr>
        <w:t>Scénario 1 : Inscription candidat → complétion du profil → candidature → Kanban recruteur → acceptation → accès au dashboard employé avec profil transféré.</w:t>
      </w:r>
    </w:p>
    <w:p w14:paraId="29B42E29">
      <w:pPr>
        <w:pStyle w:val="34"/>
        <w:ind w:left="567"/>
        <w:rPr>
          <w:color w:val="auto"/>
        </w:rPr>
      </w:pPr>
      <w:r>
        <w:rPr>
          <w:rFonts w:ascii="Times New Roman" w:hAnsi="Times New Roman"/>
          <w:b w:val="0"/>
          <w:i w:val="0"/>
          <w:color w:val="auto"/>
          <w:sz w:val="24"/>
        </w:rPr>
        <w:t>Scénario 2 : Recruteur → création d'offre avec compétences → matching automatique → tri des candidats par score.</w:t>
      </w:r>
    </w:p>
    <w:p w14:paraId="38C5E9B3">
      <w:pPr>
        <w:pStyle w:val="34"/>
        <w:ind w:left="567"/>
        <w:rPr>
          <w:color w:val="auto"/>
        </w:rPr>
      </w:pPr>
      <w:r>
        <w:rPr>
          <w:rFonts w:ascii="Times New Roman" w:hAnsi="Times New Roman"/>
          <w:b w:val="0"/>
          <w:i w:val="0"/>
          <w:color w:val="auto"/>
          <w:sz w:val="24"/>
        </w:rPr>
        <w:t>Scénario 3 : Employé → consultation de l'organigramme → candidature à un poste interne → suivi de la candidature.</w:t>
      </w:r>
    </w:p>
    <w:p w14:paraId="5BA8D5BD">
      <w:pPr>
        <w:pStyle w:val="34"/>
        <w:ind w:left="567"/>
        <w:rPr>
          <w:color w:val="auto"/>
        </w:rPr>
      </w:pPr>
      <w:r>
        <w:rPr>
          <w:rFonts w:ascii="Times New Roman" w:hAnsi="Times New Roman"/>
          <w:b w:val="0"/>
          <w:i w:val="0"/>
          <w:color w:val="auto"/>
          <w:sz w:val="24"/>
        </w:rPr>
        <w:t>Scénario 4 : Employé → accès au LMS via SSO → suivi d'un cours → complétion → mise à jour des compétences dans le profil RH.</w:t>
      </w:r>
    </w:p>
    <w:p w14:paraId="6D2770B2">
      <w:pPr>
        <w:pStyle w:val="34"/>
        <w:ind w:left="567"/>
        <w:rPr>
          <w:color w:val="auto"/>
        </w:rPr>
      </w:pPr>
      <w:r>
        <w:rPr>
          <w:rFonts w:ascii="Times New Roman" w:hAnsi="Times New Roman"/>
          <w:b w:val="0"/>
          <w:i w:val="0"/>
          <w:color w:val="auto"/>
          <w:sz w:val="24"/>
        </w:rPr>
        <w:t>Scénario 5 : Recruteur → assignation d'une formation à un employé → consultation par l'employé dans son espace.</w:t>
      </w:r>
    </w:p>
    <w:p w14:paraId="096CDFE5">
      <w:pPr>
        <w:pStyle w:val="3"/>
        <w:jc w:val="left"/>
        <w:rPr>
          <w:color w:val="auto"/>
        </w:rPr>
      </w:pPr>
      <w:r>
        <w:rPr>
          <w:rFonts w:ascii="Times New Roman" w:hAnsi="Times New Roman"/>
          <w:color w:val="auto"/>
          <w:sz w:val="28"/>
        </w:rPr>
        <w:t>6.2 Sécurité</w:t>
      </w:r>
    </w:p>
    <w:p w14:paraId="347733E7">
      <w:pPr>
        <w:pStyle w:val="4"/>
        <w:rPr>
          <w:color w:val="auto"/>
        </w:rPr>
      </w:pPr>
      <w:r>
        <w:rPr>
          <w:rFonts w:ascii="Times New Roman" w:hAnsi="Times New Roman"/>
          <w:b/>
          <w:color w:val="auto"/>
          <w:sz w:val="24"/>
        </w:rPr>
        <w:t>6.2.1 Authentification et autorisation</w:t>
      </w:r>
    </w:p>
    <w:p w14:paraId="492A4176">
      <w:pPr>
        <w:spacing w:after="120"/>
        <w:ind w:firstLine="567"/>
        <w:jc w:val="both"/>
        <w:rPr>
          <w:color w:val="auto"/>
        </w:rPr>
      </w:pPr>
      <w:r>
        <w:rPr>
          <w:rFonts w:ascii="Times New Roman" w:hAnsi="Times New Roman"/>
          <w:b w:val="0"/>
          <w:i w:val="0"/>
          <w:color w:val="auto"/>
          <w:sz w:val="24"/>
        </w:rPr>
        <w:t>La sécurité de la plateforme repose sur plusieurs mécanismes complémentaires. Les mots de passe sont systématiquement hachés avec bcrypt via la bibliothèque passlib avant stockage en base de données. Aucun mot de passe en clair n'est jamais persisté. Les tokens JWT utilisent l'algorithme HS256 avec une clé secrète de 64 caractères alphanumériques, renouvelable sans modification du code via la variable d'environnement SECRET_KEY. Les tokens ont une durée de vie limitée (30 minutes pour les tokens utilisateur, 5 minutes pour les tokens de service).</w:t>
      </w:r>
    </w:p>
    <w:p w14:paraId="650EC91E">
      <w:pPr>
        <w:spacing w:after="120"/>
        <w:ind w:firstLine="567"/>
        <w:jc w:val="both"/>
        <w:rPr>
          <w:color w:val="auto"/>
        </w:rPr>
      </w:pPr>
      <w:r>
        <w:rPr>
          <w:rFonts w:ascii="Times New Roman" w:hAnsi="Times New Roman"/>
          <w:b w:val="0"/>
          <w:i w:val="0"/>
          <w:color w:val="auto"/>
          <w:sz w:val="24"/>
        </w:rPr>
        <w:t>Le contrôle d'accès basé sur les rôles (RBAC) à deux niveaux, décrit en section 4.5, garantit que chaque utilisateur n'accède qu'aux données et fonctionnalités qui correspondent à son rôle et à ses permissions.</w:t>
      </w:r>
    </w:p>
    <w:p w14:paraId="3CB6E7CA">
      <w:pPr>
        <w:pStyle w:val="4"/>
        <w:rPr>
          <w:color w:val="auto"/>
        </w:rPr>
      </w:pPr>
      <w:r>
        <w:rPr>
          <w:rFonts w:ascii="Times New Roman" w:hAnsi="Times New Roman"/>
          <w:b/>
          <w:color w:val="auto"/>
          <w:sz w:val="24"/>
        </w:rPr>
        <w:t>6.2.2 Isolation multi-tenant</w:t>
      </w:r>
    </w:p>
    <w:p w14:paraId="54E074E3">
      <w:pPr>
        <w:spacing w:after="120"/>
        <w:ind w:firstLine="567"/>
        <w:jc w:val="both"/>
        <w:rPr>
          <w:color w:val="auto"/>
        </w:rPr>
      </w:pPr>
      <w:r>
        <w:rPr>
          <w:rFonts w:ascii="Times New Roman" w:hAnsi="Times New Roman"/>
          <w:b w:val="0"/>
          <w:i w:val="0"/>
          <w:color w:val="auto"/>
          <w:sz w:val="24"/>
        </w:rPr>
        <w:t>L'isolation des données entre entreprises/entités organisationnelles est assurée au niveau applicatif : chaque endpoint filtre systématiquement les données par company_id de l'utilisateur connecté. Bien que cette approche requière une rigueur de développement (chaque nouvel endpoint doit intégrer ce filtre), elle offre une flexibilité maximale pour des cas particuliers (données partagées entre tenants, comme le référentiel de compétences).</w:t>
      </w:r>
    </w:p>
    <w:p w14:paraId="317226D2">
      <w:pPr>
        <w:pStyle w:val="4"/>
        <w:rPr>
          <w:color w:val="auto"/>
        </w:rPr>
      </w:pPr>
      <w:r>
        <w:rPr>
          <w:rFonts w:ascii="Times New Roman" w:hAnsi="Times New Roman"/>
          <w:b/>
          <w:color w:val="auto"/>
          <w:sz w:val="24"/>
        </w:rPr>
        <w:t>6.2.3 Protection contre les vulnérabilités courantes</w:t>
      </w:r>
    </w:p>
    <w:p w14:paraId="449249FC">
      <w:pPr>
        <w:spacing w:after="120"/>
        <w:ind w:firstLine="567"/>
        <w:jc w:val="both"/>
        <w:rPr>
          <w:color w:val="auto"/>
        </w:rPr>
      </w:pPr>
      <w:r>
        <w:rPr>
          <w:rFonts w:ascii="Times New Roman" w:hAnsi="Times New Roman"/>
          <w:b w:val="0"/>
          <w:i w:val="0"/>
          <w:color w:val="auto"/>
          <w:sz w:val="24"/>
        </w:rPr>
        <w:t>La plateforme adresse les principales vulnérabilités du Top 10 OWASP :</w:t>
      </w:r>
    </w:p>
    <w:p w14:paraId="40A59E48">
      <w:pPr>
        <w:pStyle w:val="34"/>
        <w:ind w:left="567"/>
        <w:rPr>
          <w:color w:val="auto"/>
        </w:rPr>
      </w:pPr>
      <w:r>
        <w:rPr>
          <w:rFonts w:ascii="Times New Roman" w:hAnsi="Times New Roman"/>
          <w:b w:val="0"/>
          <w:i w:val="0"/>
          <w:color w:val="auto"/>
          <w:sz w:val="24"/>
        </w:rPr>
        <w:t>Injection SQL : prévenue par l'utilisation systématique de l'ORM SQLAlchemy avec des requêtes paramétrées.</w:t>
      </w:r>
    </w:p>
    <w:p w14:paraId="5910565E">
      <w:pPr>
        <w:pStyle w:val="34"/>
        <w:ind w:left="567"/>
        <w:rPr>
          <w:color w:val="auto"/>
        </w:rPr>
      </w:pPr>
      <w:r>
        <w:rPr>
          <w:rFonts w:ascii="Times New Roman" w:hAnsi="Times New Roman"/>
          <w:b w:val="0"/>
          <w:i w:val="0"/>
          <w:color w:val="auto"/>
          <w:sz w:val="24"/>
        </w:rPr>
        <w:t>Cross-Site Scripting (XSS) : le frontend Next.js échappant automatiquement les valeurs dans JSX ; les données utilisateur ne sont jamais injectées dans du HTML brut.</w:t>
      </w:r>
    </w:p>
    <w:p w14:paraId="492BF7E4">
      <w:pPr>
        <w:pStyle w:val="34"/>
        <w:ind w:left="567"/>
        <w:rPr>
          <w:color w:val="auto"/>
        </w:rPr>
      </w:pPr>
      <w:r>
        <w:rPr>
          <w:rFonts w:ascii="Times New Roman" w:hAnsi="Times New Roman"/>
          <w:b w:val="0"/>
          <w:i w:val="0"/>
          <w:color w:val="auto"/>
          <w:sz w:val="24"/>
        </w:rPr>
        <w:t>Broken Authentication : tokens à durée limitée, hachage bcrypt, renouvellement sécurisé des secrets.</w:t>
      </w:r>
    </w:p>
    <w:p w14:paraId="0792207E">
      <w:pPr>
        <w:pStyle w:val="34"/>
        <w:ind w:left="567"/>
        <w:rPr>
          <w:color w:val="auto"/>
        </w:rPr>
      </w:pPr>
      <w:r>
        <w:rPr>
          <w:rFonts w:ascii="Times New Roman" w:hAnsi="Times New Roman"/>
          <w:b w:val="0"/>
          <w:i w:val="0"/>
          <w:color w:val="auto"/>
          <w:sz w:val="24"/>
        </w:rPr>
        <w:t>Security Misconfiguration : les valeurs par défaut de développement sont documentées et doivent être remplacées via variables d'environnement en production.</w:t>
      </w:r>
    </w:p>
    <w:p w14:paraId="43727BA2">
      <w:pPr>
        <w:pStyle w:val="34"/>
        <w:ind w:left="567"/>
        <w:rPr>
          <w:color w:val="auto"/>
        </w:rPr>
      </w:pPr>
      <w:r>
        <w:rPr>
          <w:rFonts w:ascii="Times New Roman" w:hAnsi="Times New Roman"/>
          <w:b w:val="0"/>
          <w:i w:val="0"/>
          <w:color w:val="auto"/>
          <w:sz w:val="24"/>
        </w:rPr>
        <w:t>CORS : configuré strictement pour n'autoriser que les origines connues (localhost:3000 en développement).</w:t>
      </w:r>
    </w:p>
    <w:p w14:paraId="28FC8D07">
      <w:pPr>
        <w:pStyle w:val="3"/>
        <w:jc w:val="left"/>
        <w:rPr>
          <w:color w:val="auto"/>
        </w:rPr>
      </w:pPr>
      <w:r>
        <w:rPr>
          <w:rFonts w:ascii="Times New Roman" w:hAnsi="Times New Roman"/>
          <w:color w:val="auto"/>
          <w:sz w:val="28"/>
        </w:rPr>
        <w:t>6.3 Déploiement</w:t>
      </w:r>
    </w:p>
    <w:p w14:paraId="16BCC6CC">
      <w:pPr>
        <w:pStyle w:val="4"/>
        <w:rPr>
          <w:color w:val="auto"/>
        </w:rPr>
      </w:pPr>
      <w:r>
        <w:rPr>
          <w:rFonts w:ascii="Times New Roman" w:hAnsi="Times New Roman"/>
          <w:b/>
          <w:color w:val="auto"/>
          <w:sz w:val="24"/>
        </w:rPr>
        <w:t>6.3.1 Architecture de déploiement cible</w:t>
      </w:r>
    </w:p>
    <w:p w14:paraId="36CB0708">
      <w:pPr>
        <w:spacing w:after="120"/>
        <w:ind w:firstLine="567"/>
        <w:jc w:val="both"/>
        <w:rPr>
          <w:color w:val="auto"/>
        </w:rPr>
      </w:pPr>
      <w:r>
        <w:rPr>
          <w:rFonts w:ascii="Times New Roman" w:hAnsi="Times New Roman"/>
          <w:b w:val="0"/>
          <w:i w:val="0"/>
          <w:color w:val="auto"/>
          <w:sz w:val="24"/>
        </w:rPr>
        <w:t>Pour un déploiement en production au sein de l'infrastructure de l'ONCF, l'architecture cible recommandée comprend :</w:t>
      </w:r>
    </w:p>
    <w:p w14:paraId="2783D1AD">
      <w:pPr>
        <w:pStyle w:val="34"/>
        <w:ind w:left="567"/>
        <w:rPr>
          <w:color w:val="auto"/>
        </w:rPr>
      </w:pPr>
      <w:r>
        <w:rPr>
          <w:rFonts w:ascii="Times New Roman" w:hAnsi="Times New Roman"/>
          <w:b w:val="0"/>
          <w:i w:val="0"/>
          <w:color w:val="auto"/>
          <w:sz w:val="24"/>
        </w:rPr>
        <w:t>Un serveur d'application Linux (Ubuntu 22.04 LTS) hébergeant l'API FastAPI derrière un reverse proxy Nginx, avec Gunicorn + Uvicorn workers.</w:t>
      </w:r>
    </w:p>
    <w:p w14:paraId="6E92F5B6">
      <w:pPr>
        <w:pStyle w:val="34"/>
        <w:ind w:left="567"/>
        <w:rPr>
          <w:color w:val="auto"/>
        </w:rPr>
      </w:pPr>
      <w:r>
        <w:rPr>
          <w:rFonts w:ascii="Times New Roman" w:hAnsi="Times New Roman"/>
          <w:b w:val="0"/>
          <w:i w:val="0"/>
          <w:color w:val="auto"/>
          <w:sz w:val="24"/>
        </w:rPr>
        <w:t>Les deux applications Next.js compilées en production (npm run build) et servies par Nginx ou via PM2.</w:t>
      </w:r>
    </w:p>
    <w:p w14:paraId="2773497F">
      <w:pPr>
        <w:pStyle w:val="34"/>
        <w:ind w:left="567"/>
        <w:rPr>
          <w:color w:val="auto"/>
        </w:rPr>
      </w:pPr>
      <w:r>
        <w:rPr>
          <w:rFonts w:ascii="Times New Roman" w:hAnsi="Times New Roman"/>
          <w:b w:val="0"/>
          <w:i w:val="0"/>
          <w:color w:val="auto"/>
          <w:sz w:val="24"/>
        </w:rPr>
        <w:t>Un serveur PostgreSQL 16 dédié avec sauvegardes automatiques quotidiennes.</w:t>
      </w:r>
    </w:p>
    <w:p w14:paraId="7C85E22B">
      <w:pPr>
        <w:pStyle w:val="34"/>
        <w:ind w:left="567"/>
        <w:rPr>
          <w:color w:val="auto"/>
        </w:rPr>
      </w:pPr>
      <w:r>
        <w:rPr>
          <w:rFonts w:ascii="Times New Roman" w:hAnsi="Times New Roman"/>
          <w:b w:val="0"/>
          <w:i w:val="0"/>
          <w:color w:val="auto"/>
          <w:sz w:val="24"/>
        </w:rPr>
        <w:t>MongoDB Atlas (cloud) ou un cluster MongoDB on-premise selon la politique de données de l'ONCF.</w:t>
      </w:r>
    </w:p>
    <w:p w14:paraId="361E7C06">
      <w:pPr>
        <w:pStyle w:val="34"/>
        <w:ind w:left="567"/>
        <w:rPr>
          <w:color w:val="auto"/>
        </w:rPr>
      </w:pPr>
      <w:r>
        <w:rPr>
          <w:rFonts w:ascii="Times New Roman" w:hAnsi="Times New Roman"/>
          <w:b w:val="0"/>
          <w:i w:val="0"/>
          <w:color w:val="auto"/>
          <w:sz w:val="24"/>
        </w:rPr>
        <w:t>Un certificat SSL/TLS (Let's Encrypt ou PKI interne ONCF) pour chiffrer toutes les communications.</w:t>
      </w:r>
    </w:p>
    <w:p w14:paraId="19BC567F">
      <w:pPr>
        <w:pStyle w:val="4"/>
        <w:rPr>
          <w:color w:val="auto"/>
        </w:rPr>
      </w:pPr>
      <w:r>
        <w:rPr>
          <w:rFonts w:ascii="Times New Roman" w:hAnsi="Times New Roman"/>
          <w:b/>
          <w:color w:val="auto"/>
          <w:sz w:val="24"/>
        </w:rPr>
        <w:t>6.3.2 Variables d'environnement de production</w:t>
      </w:r>
    </w:p>
    <w:p w14:paraId="6FB6B4BB">
      <w:pPr>
        <w:spacing w:after="120"/>
        <w:ind w:firstLine="567"/>
        <w:jc w:val="both"/>
        <w:rPr>
          <w:color w:val="auto"/>
        </w:rPr>
      </w:pPr>
      <w:r>
        <w:rPr>
          <w:rFonts w:ascii="Times New Roman" w:hAnsi="Times New Roman"/>
          <w:b w:val="0"/>
          <w:i w:val="0"/>
          <w:color w:val="auto"/>
          <w:sz w:val="24"/>
        </w:rPr>
        <w:t>En production, les configurations sensibles doivent impérativement être définies via des variables d'environnement et ne jamais être committées dans le code source :</w:t>
      </w:r>
    </w:p>
    <w:p w14:paraId="1C8B9763">
      <w:pPr>
        <w:pStyle w:val="34"/>
        <w:ind w:left="567"/>
        <w:rPr>
          <w:color w:val="auto"/>
        </w:rPr>
      </w:pPr>
      <w:r>
        <w:rPr>
          <w:rFonts w:ascii="Times New Roman" w:hAnsi="Times New Roman"/>
          <w:b w:val="0"/>
          <w:i w:val="0"/>
          <w:color w:val="auto"/>
          <w:sz w:val="24"/>
        </w:rPr>
        <w:t>DATABASE_URL : URL de connexion PostgreSQL avec identifiants de production.</w:t>
      </w:r>
    </w:p>
    <w:p w14:paraId="1292559F">
      <w:pPr>
        <w:pStyle w:val="34"/>
        <w:ind w:left="567"/>
        <w:rPr>
          <w:color w:val="auto"/>
        </w:rPr>
      </w:pPr>
      <w:r>
        <w:rPr>
          <w:rFonts w:ascii="Times New Roman" w:hAnsi="Times New Roman"/>
          <w:b w:val="0"/>
          <w:i w:val="0"/>
          <w:color w:val="auto"/>
          <w:sz w:val="24"/>
        </w:rPr>
        <w:t>SECRET_KEY : clé secrète JWT de 64 caractères minimum, générée aléatoirement.</w:t>
      </w:r>
    </w:p>
    <w:p w14:paraId="6A6458FA">
      <w:pPr>
        <w:pStyle w:val="34"/>
        <w:ind w:left="567"/>
        <w:rPr>
          <w:color w:val="auto"/>
        </w:rPr>
      </w:pPr>
      <w:r>
        <w:rPr>
          <w:rFonts w:ascii="Times New Roman" w:hAnsi="Times New Roman"/>
          <w:b w:val="0"/>
          <w:i w:val="0"/>
          <w:color w:val="auto"/>
          <w:sz w:val="24"/>
        </w:rPr>
        <w:t>JWT_SECRET : identique à SECRET_KEY, à définir dans l'environnement LMS.</w:t>
      </w:r>
    </w:p>
    <w:p w14:paraId="0CF7188B">
      <w:pPr>
        <w:pStyle w:val="34"/>
        <w:ind w:left="567"/>
        <w:rPr>
          <w:color w:val="auto"/>
        </w:rPr>
      </w:pPr>
      <w:r>
        <w:rPr>
          <w:rFonts w:ascii="Times New Roman" w:hAnsi="Times New Roman"/>
          <w:b w:val="0"/>
          <w:i w:val="0"/>
          <w:color w:val="auto"/>
          <w:sz w:val="24"/>
        </w:rPr>
        <w:t>MONGODB_URI : URI de connexion MongoDB de production.</w:t>
      </w:r>
    </w:p>
    <w:p w14:paraId="065A4EC2">
      <w:pPr>
        <w:pStyle w:val="34"/>
        <w:ind w:left="567"/>
        <w:rPr>
          <w:color w:val="auto"/>
        </w:rPr>
      </w:pPr>
      <w:r>
        <w:rPr>
          <w:rFonts w:ascii="Times New Roman" w:hAnsi="Times New Roman"/>
          <w:b w:val="0"/>
          <w:i w:val="0"/>
          <w:color w:val="auto"/>
          <w:sz w:val="24"/>
        </w:rPr>
        <w:t>LMS_API_URL : URL interne du LMS accessible depuis le backend.</w:t>
      </w:r>
    </w:p>
    <w:p w14:paraId="76F27E0C">
      <w:pPr>
        <w:pStyle w:val="4"/>
        <w:rPr>
          <w:color w:val="auto"/>
        </w:rPr>
      </w:pPr>
      <w:r>
        <w:rPr>
          <w:rFonts w:ascii="Times New Roman" w:hAnsi="Times New Roman"/>
          <w:b/>
          <w:color w:val="auto"/>
          <w:sz w:val="24"/>
        </w:rPr>
        <w:t>6.3.3 Migrations et initialisation</w:t>
      </w:r>
    </w:p>
    <w:p w14:paraId="0A0E2A00">
      <w:pPr>
        <w:spacing w:after="120"/>
        <w:ind w:firstLine="567"/>
        <w:jc w:val="both"/>
        <w:rPr>
          <w:color w:val="auto"/>
        </w:rPr>
      </w:pPr>
      <w:r>
        <w:rPr>
          <w:rFonts w:ascii="Times New Roman" w:hAnsi="Times New Roman"/>
          <w:b w:val="0"/>
          <w:i w:val="0"/>
          <w:color w:val="auto"/>
          <w:sz w:val="24"/>
        </w:rPr>
        <w:t>Le déploiement initial nécessite l'exécution des migrations Alembic (alembic upgrade head) pour créer le schéma de base de données, suivi optionnellement du script de données initiales (seed.py) pour peupler le référentiel de compétences et les données de démonstration. Les déploiements suivants n'exécutent que les nouvelles migrations, sans perte de données.</w:t>
      </w:r>
    </w:p>
    <w:p w14:paraId="7B0B57DC">
      <w:pPr>
        <w:rPr>
          <w:color w:val="auto"/>
        </w:rPr>
      </w:pPr>
      <w:r>
        <w:rPr>
          <w:color w:val="auto"/>
        </w:rPr>
        <w:br w:type="page"/>
      </w:r>
    </w:p>
    <w:p w14:paraId="1BD7D8B9">
      <w:pPr>
        <w:pStyle w:val="2"/>
        <w:jc w:val="left"/>
        <w:rPr>
          <w:color w:val="auto"/>
        </w:rPr>
      </w:pPr>
      <w:r>
        <w:rPr>
          <w:rFonts w:ascii="Times New Roman" w:hAnsi="Times New Roman"/>
          <w:color w:val="auto"/>
          <w:sz w:val="32"/>
        </w:rPr>
        <w:t>Conclusion générale et perspectives</w:t>
      </w:r>
    </w:p>
    <w:p w14:paraId="6FB0B5CA">
      <w:pPr>
        <w:pStyle w:val="3"/>
        <w:jc w:val="left"/>
        <w:rPr>
          <w:color w:val="auto"/>
        </w:rPr>
      </w:pPr>
      <w:r>
        <w:rPr>
          <w:rFonts w:ascii="Times New Roman" w:hAnsi="Times New Roman"/>
          <w:color w:val="auto"/>
          <w:sz w:val="28"/>
        </w:rPr>
        <w:t>Bilan du projet</w:t>
      </w:r>
    </w:p>
    <w:p w14:paraId="4A00418B">
      <w:pPr>
        <w:spacing w:after="120"/>
        <w:ind w:firstLine="567"/>
        <w:jc w:val="both"/>
        <w:rPr>
          <w:color w:val="auto"/>
        </w:rPr>
      </w:pPr>
      <w:r>
        <w:rPr>
          <w:rFonts w:ascii="Times New Roman" w:hAnsi="Times New Roman"/>
          <w:b w:val="0"/>
          <w:i w:val="0"/>
          <w:color w:val="auto"/>
          <w:sz w:val="24"/>
        </w:rPr>
        <w:t>Ce mémoire a présenté la conception et le développement de RecruitPRO, une plateforme intégrée de gestion des compétences, du recrutement et de la formation, réalisée dans le cadre d'un projet de fin d'études au sein de l'IFDC de l'ONCF. La plateforme répond aux objectifs initiaux fixés en collaboration avec les équipes de l'IFDC et de la Direction des Ressources Humaines de l'ONCF :</w:t>
      </w:r>
    </w:p>
    <w:p w14:paraId="12E8334B">
      <w:pPr>
        <w:pStyle w:val="34"/>
        <w:ind w:left="567"/>
        <w:rPr>
          <w:color w:val="auto"/>
        </w:rPr>
      </w:pPr>
      <w:r>
        <w:rPr>
          <w:rFonts w:ascii="Times New Roman" w:hAnsi="Times New Roman"/>
          <w:b w:val="0"/>
          <w:i w:val="0"/>
          <w:color w:val="auto"/>
          <w:sz w:val="24"/>
        </w:rPr>
        <w:t>Modernisation du processus de recrutement : un ATS complet avec moteur de matching algorithmique multicritère permet aux recruteurs de traiter les candidatures de manière plus rapide, plus objective et plus structurée.</w:t>
      </w:r>
    </w:p>
    <w:p w14:paraId="7FC71224">
      <w:pPr>
        <w:pStyle w:val="34"/>
        <w:ind w:left="567"/>
        <w:rPr>
          <w:color w:val="auto"/>
        </w:rPr>
      </w:pPr>
      <w:r>
        <w:rPr>
          <w:rFonts w:ascii="Times New Roman" w:hAnsi="Times New Roman"/>
          <w:b w:val="0"/>
          <w:i w:val="0"/>
          <w:color w:val="auto"/>
          <w:sz w:val="24"/>
        </w:rPr>
        <w:t>Continuité du profil candidat→employé : la promotion automatique des candidats acceptés garantit la portabilité complète du profil professionnel, éliminant les ruptures d'information qui caractérisaient l'ancien processus.</w:t>
      </w:r>
    </w:p>
    <w:p w14:paraId="2AEAF15E">
      <w:pPr>
        <w:pStyle w:val="34"/>
        <w:ind w:left="567"/>
        <w:rPr>
          <w:color w:val="auto"/>
        </w:rPr>
      </w:pPr>
      <w:r>
        <w:rPr>
          <w:rFonts w:ascii="Times New Roman" w:hAnsi="Times New Roman"/>
          <w:b w:val="0"/>
          <w:i w:val="0"/>
          <w:color w:val="auto"/>
          <w:sz w:val="24"/>
        </w:rPr>
        <w:t>Pilotage de la mobilité interne : les employés disposent d'un espace dédié pour consulter les postes disponibles et postuler en interne, et les recruteurs peuvent gérer l'ensemble du processus de sélection interne.</w:t>
      </w:r>
    </w:p>
    <w:p w14:paraId="2F05390D">
      <w:pPr>
        <w:pStyle w:val="34"/>
        <w:ind w:left="567"/>
        <w:rPr>
          <w:color w:val="auto"/>
        </w:rPr>
      </w:pPr>
      <w:r>
        <w:rPr>
          <w:rFonts w:ascii="Times New Roman" w:hAnsi="Times New Roman"/>
          <w:b w:val="0"/>
          <w:i w:val="0"/>
          <w:color w:val="auto"/>
          <w:sz w:val="24"/>
        </w:rPr>
        <w:t>Gestion de la formation intégrée : le LMS, accessible via SSO, propose un catalogue structuré et synchronise automatiquement les compétences acquises lors des formations avec les profils RH.</w:t>
      </w:r>
    </w:p>
    <w:p w14:paraId="22D1FD20">
      <w:pPr>
        <w:pStyle w:val="34"/>
        <w:ind w:left="567"/>
        <w:rPr>
          <w:color w:val="auto"/>
        </w:rPr>
      </w:pPr>
      <w:r>
        <w:rPr>
          <w:rFonts w:ascii="Times New Roman" w:hAnsi="Times New Roman"/>
          <w:b w:val="0"/>
          <w:i w:val="0"/>
          <w:color w:val="auto"/>
          <w:sz w:val="24"/>
        </w:rPr>
        <w:t>Architecture sécurisée et évolutive : l'architecture multi-tenant, le RBAC à deux niveaux et l'authentification SSO constituent une base solide pour un déploiement à l'échelle de l'ONCF.</w:t>
      </w:r>
    </w:p>
    <w:p w14:paraId="6788D43D">
      <w:pPr>
        <w:spacing w:after="120"/>
        <w:ind w:firstLine="567"/>
        <w:jc w:val="both"/>
        <w:rPr>
          <w:color w:val="auto"/>
        </w:rPr>
      </w:pPr>
      <w:r>
        <w:rPr>
          <w:rFonts w:ascii="Times New Roman" w:hAnsi="Times New Roman"/>
          <w:b w:val="0"/>
          <w:i w:val="0"/>
          <w:color w:val="auto"/>
          <w:sz w:val="24"/>
        </w:rPr>
        <w:t>Sur le plan académique, ce projet a permis de mettre en application des concepts issus de plusieurs disciplines : l'ingénierie des compétences (modélisation des compétences, analyse des écarts, GPEC), l'ingénierie pédagogique (conception d'un LMS structuré), la gestion des ressources humaines (recrutement, mobilité interne) et le génie logiciel (architecture REST, sécurité, tests, déploiement). Cette transversalité reflète l'ambition d'un projet dont la vocation est de servir à la fois les objectifs métiers et pédagogiques d'une organisation comme l'ONCF.</w:t>
      </w:r>
    </w:p>
    <w:p w14:paraId="195A701D">
      <w:pPr>
        <w:pStyle w:val="3"/>
        <w:jc w:val="left"/>
        <w:rPr>
          <w:color w:val="auto"/>
        </w:rPr>
      </w:pPr>
      <w:r>
        <w:rPr>
          <w:rFonts w:ascii="Times New Roman" w:hAnsi="Times New Roman"/>
          <w:color w:val="auto"/>
          <w:sz w:val="28"/>
        </w:rPr>
        <w:t>Perspectives d'amélioration</w:t>
      </w:r>
    </w:p>
    <w:p w14:paraId="02DCDDC4">
      <w:pPr>
        <w:spacing w:after="120"/>
        <w:ind w:firstLine="567"/>
        <w:jc w:val="both"/>
        <w:rPr>
          <w:color w:val="auto"/>
        </w:rPr>
      </w:pPr>
      <w:r>
        <w:rPr>
          <w:rFonts w:ascii="Times New Roman" w:hAnsi="Times New Roman"/>
          <w:b w:val="0"/>
          <w:i w:val="0"/>
          <w:color w:val="auto"/>
          <w:sz w:val="24"/>
        </w:rPr>
        <w:t>Les perspectives d'amélioration et d'extension de RecruitPRO s'organisent à court, moyen et long terme :</w:t>
      </w:r>
    </w:p>
    <w:p w14:paraId="59B94140">
      <w:pPr>
        <w:spacing w:after="120"/>
        <w:ind w:firstLine="567"/>
        <w:jc w:val="both"/>
        <w:rPr>
          <w:color w:val="auto"/>
        </w:rPr>
      </w:pPr>
      <w:r>
        <w:rPr>
          <w:rFonts w:ascii="Times New Roman" w:hAnsi="Times New Roman"/>
          <w:b w:val="0"/>
          <w:i w:val="0"/>
          <w:color w:val="auto"/>
          <w:sz w:val="24"/>
        </w:rPr>
        <w:t>À court terme (0-6 mois) :</w:t>
      </w:r>
    </w:p>
    <w:p w14:paraId="52C1DDA4">
      <w:pPr>
        <w:pStyle w:val="34"/>
        <w:ind w:left="567"/>
        <w:rPr>
          <w:color w:val="auto"/>
        </w:rPr>
      </w:pPr>
      <w:r>
        <w:rPr>
          <w:rFonts w:ascii="Times New Roman" w:hAnsi="Times New Roman"/>
          <w:b w:val="0"/>
          <w:i w:val="0"/>
          <w:color w:val="auto"/>
          <w:sz w:val="24"/>
        </w:rPr>
        <w:t>Enrichissement du moteur de matching avec des techniques de NLP (Natural Language Processing) pour analyser les CV en texte libre et les offres d'emploi rédigées en langage naturel, extrayant automatiquement les compétences sans saisie manuelle structurée.</w:t>
      </w:r>
    </w:p>
    <w:p w14:paraId="0FF12128">
      <w:pPr>
        <w:pStyle w:val="34"/>
        <w:ind w:left="567"/>
        <w:rPr>
          <w:color w:val="auto"/>
        </w:rPr>
      </w:pPr>
      <w:r>
        <w:rPr>
          <w:rFonts w:ascii="Times New Roman" w:hAnsi="Times New Roman"/>
          <w:b w:val="0"/>
          <w:i w:val="0"/>
          <w:color w:val="auto"/>
          <w:sz w:val="24"/>
        </w:rPr>
        <w:t>Intégration d'un module de notifications (email, SMS) pour alerter les candidats des évolutions de leur candidature et les employés des nouvelles formations disponibles.</w:t>
      </w:r>
    </w:p>
    <w:p w14:paraId="3C283C84">
      <w:pPr>
        <w:pStyle w:val="34"/>
        <w:ind w:left="567"/>
        <w:rPr>
          <w:color w:val="auto"/>
        </w:rPr>
      </w:pPr>
      <w:r>
        <w:rPr>
          <w:rFonts w:ascii="Times New Roman" w:hAnsi="Times New Roman"/>
          <w:b w:val="0"/>
          <w:i w:val="0"/>
          <w:color w:val="auto"/>
          <w:sz w:val="24"/>
        </w:rPr>
        <w:t>Ajout d'un module de planification des entretiens avec synchronisation calendrier (Google Calendar, Outlook).</w:t>
      </w:r>
    </w:p>
    <w:p w14:paraId="2ADD4D59">
      <w:pPr>
        <w:spacing w:after="120"/>
        <w:ind w:firstLine="567"/>
        <w:jc w:val="both"/>
        <w:rPr>
          <w:color w:val="auto"/>
        </w:rPr>
      </w:pPr>
      <w:r>
        <w:rPr>
          <w:rFonts w:ascii="Times New Roman" w:hAnsi="Times New Roman"/>
          <w:b w:val="0"/>
          <w:i w:val="0"/>
          <w:color w:val="auto"/>
          <w:sz w:val="24"/>
        </w:rPr>
        <w:t>À moyen terme (6-18 mois) :</w:t>
      </w:r>
    </w:p>
    <w:p w14:paraId="2A3CACD6">
      <w:pPr>
        <w:pStyle w:val="34"/>
        <w:ind w:left="567"/>
        <w:rPr>
          <w:color w:val="auto"/>
        </w:rPr>
      </w:pPr>
      <w:r>
        <w:rPr>
          <w:rFonts w:ascii="Times New Roman" w:hAnsi="Times New Roman"/>
          <w:b w:val="0"/>
          <w:i w:val="0"/>
          <w:color w:val="auto"/>
          <w:sz w:val="24"/>
        </w:rPr>
        <w:t>Développement d'un tableau de bord analytique pour le pilotage RH : indicateurs de délai de recrutement, taux de conversion par source, distribution des scores de matching, taux de complétion des formations, cartographie dynamique des compétences de l'organisation.</w:t>
      </w:r>
    </w:p>
    <w:p w14:paraId="7B11664D">
      <w:pPr>
        <w:pStyle w:val="34"/>
        <w:ind w:left="567"/>
        <w:rPr>
          <w:color w:val="auto"/>
        </w:rPr>
      </w:pPr>
      <w:r>
        <w:rPr>
          <w:rFonts w:ascii="Times New Roman" w:hAnsi="Times New Roman"/>
          <w:b w:val="0"/>
          <w:i w:val="0"/>
          <w:color w:val="auto"/>
          <w:sz w:val="24"/>
        </w:rPr>
        <w:t>Intégration d'un moteur de recommandation personnalisée de formations basé sur l'analyse des écarts de compétences de chaque employé par rapport aux exigences de son poste actuel et des postes cibles identifiés dans son plan de carrière.</w:t>
      </w:r>
    </w:p>
    <w:p w14:paraId="1602420E">
      <w:pPr>
        <w:pStyle w:val="34"/>
        <w:ind w:left="567"/>
        <w:rPr>
          <w:color w:val="auto"/>
        </w:rPr>
      </w:pPr>
      <w:r>
        <w:rPr>
          <w:rFonts w:ascii="Times New Roman" w:hAnsi="Times New Roman"/>
          <w:b w:val="0"/>
          <w:i w:val="0"/>
          <w:color w:val="auto"/>
          <w:sz w:val="24"/>
        </w:rPr>
        <w:t>Développement d'une application mobile (React Native) pour permettre aux candidats de postuler et aux employés de suivre leurs formations depuis leurs terminaux mobiles.</w:t>
      </w:r>
    </w:p>
    <w:p w14:paraId="54D69423">
      <w:pPr>
        <w:spacing w:after="120"/>
        <w:ind w:firstLine="567"/>
        <w:jc w:val="both"/>
        <w:rPr>
          <w:color w:val="auto"/>
        </w:rPr>
      </w:pPr>
      <w:r>
        <w:rPr>
          <w:rFonts w:ascii="Times New Roman" w:hAnsi="Times New Roman"/>
          <w:b w:val="0"/>
          <w:i w:val="0"/>
          <w:color w:val="auto"/>
          <w:sz w:val="24"/>
        </w:rPr>
        <w:t>À long terme (au-delà de 18 mois) :</w:t>
      </w:r>
    </w:p>
    <w:p w14:paraId="00AD8E08">
      <w:pPr>
        <w:pStyle w:val="34"/>
        <w:ind w:left="567"/>
        <w:rPr>
          <w:color w:val="auto"/>
        </w:rPr>
      </w:pPr>
      <w:r>
        <w:rPr>
          <w:rFonts w:ascii="Times New Roman" w:hAnsi="Times New Roman"/>
          <w:b w:val="0"/>
          <w:i w:val="0"/>
          <w:color w:val="auto"/>
          <w:sz w:val="24"/>
        </w:rPr>
        <w:t>Intégration d'une composante d'intelligence artificielle prédictive permettant d'anticiper les besoins en compétences à partir des orientations stratégiques de l'ONCF (Cap 2030) et des évolutions technologiques du secteur ferroviaire.</w:t>
      </w:r>
    </w:p>
    <w:p w14:paraId="045903F6">
      <w:pPr>
        <w:pStyle w:val="34"/>
        <w:ind w:left="567"/>
        <w:rPr>
          <w:color w:val="auto"/>
        </w:rPr>
      </w:pPr>
      <w:r>
        <w:rPr>
          <w:rFonts w:ascii="Times New Roman" w:hAnsi="Times New Roman"/>
          <w:b w:val="0"/>
          <w:i w:val="0"/>
          <w:color w:val="auto"/>
          <w:sz w:val="24"/>
        </w:rPr>
        <w:t>Déploiement d'un chatbot RH disponible 24h/24 pour répondre aux questions des candidats et des employés sur les procédures de recrutement, les formations disponibles et les démarches administratives.</w:t>
      </w:r>
    </w:p>
    <w:p w14:paraId="4C080D7D">
      <w:pPr>
        <w:pStyle w:val="34"/>
        <w:ind w:left="567"/>
        <w:rPr>
          <w:color w:val="auto"/>
        </w:rPr>
      </w:pPr>
      <w:r>
        <w:rPr>
          <w:rFonts w:ascii="Times New Roman" w:hAnsi="Times New Roman"/>
          <w:b w:val="0"/>
          <w:i w:val="0"/>
          <w:color w:val="auto"/>
          <w:sz w:val="24"/>
        </w:rPr>
        <w:t>Extension de la plateforme à d'autres entités du groupe ou à d'autres organisations publiques du secteur des transports, en exploitant l'architecture multi-tenant déjà en place.</w:t>
      </w:r>
    </w:p>
    <w:p w14:paraId="56F0951B">
      <w:pPr>
        <w:spacing w:after="120"/>
        <w:ind w:firstLine="567"/>
        <w:jc w:val="both"/>
        <w:rPr>
          <w:color w:val="auto"/>
        </w:rPr>
      </w:pPr>
      <w:r>
        <w:rPr>
          <w:rFonts w:ascii="Times New Roman" w:hAnsi="Times New Roman"/>
          <w:b w:val="0"/>
          <w:i w:val="0"/>
          <w:color w:val="auto"/>
          <w:sz w:val="24"/>
        </w:rPr>
        <w:t>Ces perspectives témoignent de la viabilité à long terme de RecruitPRO comme plateforme stratégique de gestion du capital humain. Plus qu'un projet de développement logiciel, RecruitPRO est une contribution concrète à la transformation digitale des pratiques RH de l'ONCF, alignée sur sa vision de modernisation et d'excellence opérationnelle à l'horizon 2030.</w:t>
      </w:r>
    </w:p>
    <w:p w14:paraId="1D63F3C9">
      <w:pPr>
        <w:rPr>
          <w:color w:val="auto"/>
        </w:rPr>
      </w:pPr>
      <w:r>
        <w:rPr>
          <w:color w:val="auto"/>
        </w:rPr>
        <w:br w:type="page"/>
      </w:r>
    </w:p>
    <w:p w14:paraId="572451AF">
      <w:pPr>
        <w:pStyle w:val="2"/>
        <w:jc w:val="left"/>
        <w:rPr>
          <w:color w:val="auto"/>
        </w:rPr>
      </w:pPr>
      <w:r>
        <w:rPr>
          <w:rFonts w:ascii="Times New Roman" w:hAnsi="Times New Roman"/>
          <w:color w:val="auto"/>
          <w:sz w:val="32"/>
        </w:rPr>
        <w:t>Bibliographie</w:t>
      </w:r>
    </w:p>
    <w:p w14:paraId="395DEF47">
      <w:pPr>
        <w:pStyle w:val="3"/>
        <w:jc w:val="left"/>
        <w:rPr>
          <w:color w:val="auto"/>
        </w:rPr>
      </w:pPr>
      <w:r>
        <w:rPr>
          <w:rFonts w:ascii="Times New Roman" w:hAnsi="Times New Roman"/>
          <w:color w:val="auto"/>
          <w:sz w:val="28"/>
        </w:rPr>
        <w:t>Ouvrages et articles académiques</w:t>
      </w:r>
    </w:p>
    <w:p w14:paraId="78CF033D">
      <w:pPr>
        <w:pStyle w:val="34"/>
        <w:ind w:left="567"/>
        <w:rPr>
          <w:color w:val="auto"/>
        </w:rPr>
      </w:pPr>
      <w:r>
        <w:rPr>
          <w:rFonts w:ascii="Times New Roman" w:hAnsi="Times New Roman"/>
          <w:b w:val="0"/>
          <w:i w:val="0"/>
          <w:color w:val="auto"/>
          <w:sz w:val="24"/>
        </w:rPr>
        <w:t>Le Boterf, G. (2000). Construire les compétences individuelles et collectives. Paris : Éditions d'Organisation.</w:t>
      </w:r>
    </w:p>
    <w:p w14:paraId="2FF2EAC3">
      <w:pPr>
        <w:pStyle w:val="34"/>
        <w:ind w:left="567"/>
        <w:rPr>
          <w:color w:val="auto"/>
        </w:rPr>
      </w:pPr>
      <w:r>
        <w:rPr>
          <w:rFonts w:ascii="Times New Roman" w:hAnsi="Times New Roman"/>
          <w:b w:val="0"/>
          <w:i w:val="0"/>
          <w:color w:val="auto"/>
          <w:sz w:val="24"/>
        </w:rPr>
        <w:t>Zarifian, P. (2001). Le modèle de la compétence. Trajectoire historique, enjeux actuels et propositions. Paris : Liaisons.</w:t>
      </w:r>
    </w:p>
    <w:p w14:paraId="1232F2E6">
      <w:pPr>
        <w:pStyle w:val="34"/>
        <w:ind w:left="567"/>
        <w:rPr>
          <w:color w:val="auto"/>
        </w:rPr>
      </w:pPr>
      <w:r>
        <w:rPr>
          <w:rFonts w:ascii="Times New Roman" w:hAnsi="Times New Roman"/>
          <w:b w:val="0"/>
          <w:i w:val="0"/>
          <w:color w:val="auto"/>
          <w:sz w:val="24"/>
        </w:rPr>
        <w:t>Peretti, J.-M. (2019). Ressources humaines (16e éd.). Paris : Vuibert.</w:t>
      </w:r>
    </w:p>
    <w:p w14:paraId="75325EF2">
      <w:pPr>
        <w:pStyle w:val="34"/>
        <w:ind w:left="567"/>
        <w:rPr>
          <w:color w:val="auto"/>
        </w:rPr>
      </w:pPr>
      <w:r>
        <w:rPr>
          <w:rFonts w:ascii="Times New Roman" w:hAnsi="Times New Roman"/>
          <w:b w:val="0"/>
          <w:i w:val="0"/>
          <w:color w:val="auto"/>
          <w:sz w:val="24"/>
        </w:rPr>
        <w:t>Parry, S. B. (1996). The quest for competencies. Training, 33(7), 48–56.</w:t>
      </w:r>
    </w:p>
    <w:p w14:paraId="029A45FC">
      <w:pPr>
        <w:pStyle w:val="34"/>
        <w:ind w:left="567"/>
        <w:rPr>
          <w:color w:val="auto"/>
        </w:rPr>
      </w:pPr>
      <w:r>
        <w:rPr>
          <w:rFonts w:ascii="Times New Roman" w:hAnsi="Times New Roman"/>
          <w:b w:val="0"/>
          <w:i w:val="0"/>
          <w:color w:val="auto"/>
          <w:sz w:val="24"/>
        </w:rPr>
        <w:t>Boyatzis, R. E. (1982). The competent manager: A model for effective performance. New York: Wiley.</w:t>
      </w:r>
    </w:p>
    <w:p w14:paraId="333CF013">
      <w:pPr>
        <w:pStyle w:val="34"/>
        <w:ind w:left="567"/>
        <w:rPr>
          <w:color w:val="auto"/>
        </w:rPr>
      </w:pPr>
      <w:r>
        <w:rPr>
          <w:rFonts w:ascii="Times New Roman" w:hAnsi="Times New Roman"/>
          <w:b w:val="0"/>
          <w:i w:val="0"/>
          <w:color w:val="auto"/>
          <w:sz w:val="24"/>
        </w:rPr>
        <w:t>Pichault, F., &amp; Nizet, J. (2013). Les pratiques de gestion des ressources humaines. Paris : Seuil.</w:t>
      </w:r>
    </w:p>
    <w:p w14:paraId="6CEC92B6">
      <w:pPr>
        <w:pStyle w:val="34"/>
        <w:ind w:left="567"/>
        <w:rPr>
          <w:color w:val="auto"/>
        </w:rPr>
      </w:pPr>
      <w:r>
        <w:rPr>
          <w:rFonts w:ascii="Times New Roman" w:hAnsi="Times New Roman"/>
          <w:b w:val="0"/>
          <w:i w:val="0"/>
          <w:color w:val="auto"/>
          <w:sz w:val="24"/>
        </w:rPr>
        <w:t>Bergman, A., &amp; Järlström, M. (Eds.). (2017). Strategic HRM in an Era of Workforce Change. Springer.</w:t>
      </w:r>
    </w:p>
    <w:p w14:paraId="1F555A31">
      <w:pPr>
        <w:pStyle w:val="34"/>
        <w:ind w:left="567"/>
        <w:rPr>
          <w:color w:val="auto"/>
        </w:rPr>
      </w:pPr>
      <w:r>
        <w:rPr>
          <w:rFonts w:ascii="Times New Roman" w:hAnsi="Times New Roman"/>
          <w:b w:val="0"/>
          <w:i w:val="0"/>
          <w:color w:val="auto"/>
          <w:sz w:val="24"/>
        </w:rPr>
        <w:t>Mouroux, S., &amp; Richer, C. (2021). GPEC et transformation des compétences. Revue de gestion des ressources humaines, 119(1), 3–18.</w:t>
      </w:r>
    </w:p>
    <w:p w14:paraId="4246788B">
      <w:pPr>
        <w:pStyle w:val="3"/>
        <w:jc w:val="left"/>
        <w:rPr>
          <w:color w:val="auto"/>
        </w:rPr>
      </w:pPr>
      <w:r>
        <w:rPr>
          <w:rFonts w:ascii="Times New Roman" w:hAnsi="Times New Roman"/>
          <w:color w:val="auto"/>
          <w:sz w:val="28"/>
        </w:rPr>
        <w:t>Documentation technique</w:t>
      </w:r>
    </w:p>
    <w:p w14:paraId="4D0003BA">
      <w:pPr>
        <w:pStyle w:val="34"/>
        <w:ind w:left="567"/>
        <w:rPr>
          <w:color w:val="auto"/>
        </w:rPr>
      </w:pPr>
      <w:r>
        <w:rPr>
          <w:rFonts w:ascii="Times New Roman" w:hAnsi="Times New Roman"/>
          <w:b w:val="0"/>
          <w:i w:val="0"/>
          <w:color w:val="auto"/>
          <w:sz w:val="24"/>
        </w:rPr>
        <w:t>FastAPI Documentation. (2024). FastAPI – Modern, fast (high-performance), web framework for building APIs with Python 3.7+. https://fastapi.tiangolo.com</w:t>
      </w:r>
    </w:p>
    <w:p w14:paraId="6C95459E">
      <w:pPr>
        <w:pStyle w:val="34"/>
        <w:ind w:left="567"/>
        <w:rPr>
          <w:color w:val="auto"/>
        </w:rPr>
      </w:pPr>
      <w:r>
        <w:rPr>
          <w:rFonts w:ascii="Times New Roman" w:hAnsi="Times New Roman"/>
          <w:b w:val="0"/>
          <w:i w:val="0"/>
          <w:color w:val="auto"/>
          <w:sz w:val="24"/>
        </w:rPr>
        <w:t>Next.js Documentation. (2024). Next.js by Vercel – The React Framework. https://nextjs.org/docs</w:t>
      </w:r>
    </w:p>
    <w:p w14:paraId="30E3DC96">
      <w:pPr>
        <w:pStyle w:val="34"/>
        <w:ind w:left="567"/>
        <w:rPr>
          <w:color w:val="auto"/>
        </w:rPr>
      </w:pPr>
      <w:r>
        <w:rPr>
          <w:rFonts w:ascii="Times New Roman" w:hAnsi="Times New Roman"/>
          <w:b w:val="0"/>
          <w:i w:val="0"/>
          <w:color w:val="auto"/>
          <w:sz w:val="24"/>
        </w:rPr>
        <w:t>SQLAlchemy Documentation. (2024). The Python SQL Toolkit and Object Relational Mapper. https://docs.sqlalchemy.org</w:t>
      </w:r>
    </w:p>
    <w:p w14:paraId="426573CB">
      <w:pPr>
        <w:pStyle w:val="34"/>
        <w:ind w:left="567"/>
        <w:rPr>
          <w:color w:val="auto"/>
        </w:rPr>
      </w:pPr>
      <w:r>
        <w:rPr>
          <w:rFonts w:ascii="Times New Roman" w:hAnsi="Times New Roman"/>
          <w:b w:val="0"/>
          <w:i w:val="0"/>
          <w:color w:val="auto"/>
          <w:sz w:val="24"/>
        </w:rPr>
        <w:t>Alembic Documentation. (2024). Alembic – Database Migrations for SQLAlchemy. https://alembic.sqlalchemy.org</w:t>
      </w:r>
    </w:p>
    <w:p w14:paraId="5AE2BA52">
      <w:pPr>
        <w:pStyle w:val="34"/>
        <w:ind w:left="567"/>
        <w:rPr>
          <w:color w:val="auto"/>
        </w:rPr>
      </w:pPr>
      <w:r>
        <w:rPr>
          <w:rFonts w:ascii="Times New Roman" w:hAnsi="Times New Roman"/>
          <w:b w:val="0"/>
          <w:i w:val="0"/>
          <w:color w:val="auto"/>
          <w:sz w:val="24"/>
        </w:rPr>
        <w:t>MongoDB Documentation. (2024). MongoDB Atlas – Multi-Cloud Database Service. https://www.mongodb.com/docs</w:t>
      </w:r>
    </w:p>
    <w:p w14:paraId="5D2EC8E0">
      <w:pPr>
        <w:pStyle w:val="34"/>
        <w:ind w:left="567"/>
        <w:rPr>
          <w:color w:val="auto"/>
        </w:rPr>
      </w:pPr>
      <w:r>
        <w:rPr>
          <w:rFonts w:ascii="Times New Roman" w:hAnsi="Times New Roman"/>
          <w:b w:val="0"/>
          <w:i w:val="0"/>
          <w:color w:val="auto"/>
          <w:sz w:val="24"/>
        </w:rPr>
        <w:t>JSON Web Tokens. (2024). Introduction to JSON Web Tokens. https://jwt.io/introduction</w:t>
      </w:r>
    </w:p>
    <w:p w14:paraId="7C5D856B">
      <w:pPr>
        <w:pStyle w:val="34"/>
        <w:ind w:left="567"/>
        <w:rPr>
          <w:color w:val="auto"/>
        </w:rPr>
      </w:pPr>
      <w:r>
        <w:rPr>
          <w:rFonts w:ascii="Times New Roman" w:hAnsi="Times New Roman"/>
          <w:b w:val="0"/>
          <w:i w:val="0"/>
          <w:color w:val="auto"/>
          <w:sz w:val="24"/>
        </w:rPr>
        <w:t>OWASP Foundation. (2023). OWASP Top Ten – The Ten Most Critical Web Application Security Risks.</w:t>
      </w:r>
    </w:p>
    <w:p w14:paraId="7E378778">
      <w:pPr>
        <w:pStyle w:val="34"/>
        <w:ind w:left="567"/>
        <w:rPr>
          <w:color w:val="auto"/>
        </w:rPr>
      </w:pPr>
      <w:r>
        <w:rPr>
          <w:rFonts w:ascii="Times New Roman" w:hAnsi="Times New Roman"/>
          <w:b w:val="0"/>
          <w:i w:val="0"/>
          <w:color w:val="auto"/>
          <w:sz w:val="24"/>
        </w:rPr>
        <w:t>France Travail. (2024). Le ROME – Répertoire Opérationnel des Métiers et des Emplois. https://www.francetravail.fr/rome</w:t>
      </w:r>
    </w:p>
    <w:p w14:paraId="2486865A">
      <w:pPr>
        <w:pStyle w:val="34"/>
        <w:ind w:left="567"/>
        <w:rPr>
          <w:color w:val="auto"/>
        </w:rPr>
      </w:pPr>
      <w:r>
        <w:rPr>
          <w:rFonts w:ascii="Times New Roman" w:hAnsi="Times New Roman"/>
          <w:b w:val="0"/>
          <w:i w:val="0"/>
          <w:color w:val="auto"/>
          <w:sz w:val="24"/>
        </w:rPr>
        <w:t>ONCF. (2023). Rapport annuel 2023. Office National des Chemins de Fer, Rabat.</w:t>
      </w:r>
    </w:p>
    <w:p w14:paraId="3B0ABB4B">
      <w:pPr>
        <w:pStyle w:val="34"/>
        <w:ind w:left="567"/>
        <w:rPr>
          <w:color w:val="auto"/>
        </w:rPr>
      </w:pPr>
      <w:r>
        <w:rPr>
          <w:rFonts w:ascii="Times New Roman" w:hAnsi="Times New Roman"/>
          <w:b w:val="0"/>
          <w:i w:val="0"/>
          <w:color w:val="auto"/>
          <w:sz w:val="24"/>
        </w:rPr>
        <w:t>ONCF. (2022). Plan stratégique Cap 2030. Document institutionnel, Direction Générale de l'ONCF.</w:t>
      </w:r>
    </w:p>
    <w:p w14:paraId="5484BF15">
      <w:pPr>
        <w:rPr>
          <w:color w:val="auto"/>
        </w:rPr>
      </w:pPr>
      <w:r>
        <w:rPr>
          <w:color w:val="auto"/>
        </w:rPr>
        <w:br w:type="page"/>
      </w:r>
    </w:p>
    <w:p w14:paraId="504B8FBB">
      <w:pPr>
        <w:pStyle w:val="2"/>
        <w:jc w:val="left"/>
        <w:rPr>
          <w:color w:val="auto"/>
        </w:rPr>
      </w:pPr>
      <w:r>
        <w:rPr>
          <w:rFonts w:ascii="Times New Roman" w:hAnsi="Times New Roman"/>
          <w:color w:val="auto"/>
          <w:sz w:val="32"/>
        </w:rPr>
        <w:t>Annexes</w:t>
      </w:r>
    </w:p>
    <w:p w14:paraId="37267118">
      <w:pPr>
        <w:pStyle w:val="3"/>
        <w:jc w:val="left"/>
        <w:rPr>
          <w:color w:val="auto"/>
        </w:rPr>
      </w:pPr>
      <w:r>
        <w:rPr>
          <w:rFonts w:ascii="Times New Roman" w:hAnsi="Times New Roman"/>
          <w:color w:val="auto"/>
          <w:sz w:val="28"/>
        </w:rPr>
        <w:t>Annexe A – Extraits du code source</w:t>
      </w:r>
    </w:p>
    <w:p w14:paraId="2999A8AC">
      <w:pPr>
        <w:spacing w:after="120"/>
        <w:ind w:firstLine="567"/>
        <w:jc w:val="both"/>
        <w:rPr>
          <w:color w:val="auto"/>
        </w:rPr>
      </w:pPr>
      <w:r>
        <w:rPr>
          <w:rFonts w:ascii="Times New Roman" w:hAnsi="Times New Roman"/>
          <w:b w:val="0"/>
          <w:i w:val="0"/>
          <w:color w:val="auto"/>
          <w:sz w:val="24"/>
        </w:rPr>
        <w:t>[INSÉRER ICI : extraits des fichiers les plus significatifs — moteur de matching (matching.py), authentification SSO (_get_service_token), modèles de données SQLAlchemy clés, exemple de composant React du Kanban.]</w:t>
      </w:r>
    </w:p>
    <w:p w14:paraId="732ECFD1">
      <w:pPr>
        <w:pStyle w:val="3"/>
        <w:jc w:val="left"/>
        <w:rPr>
          <w:color w:val="auto"/>
        </w:rPr>
      </w:pPr>
      <w:r>
        <w:rPr>
          <w:rFonts w:ascii="Times New Roman" w:hAnsi="Times New Roman"/>
          <w:color w:val="auto"/>
          <w:sz w:val="28"/>
        </w:rPr>
        <w:t>Annexe B – Captures d'écran de la plateforme</w:t>
      </w:r>
    </w:p>
    <w:p w14:paraId="0EBF72BD">
      <w:pPr>
        <w:spacing w:after="120"/>
        <w:ind w:firstLine="567"/>
        <w:jc w:val="both"/>
        <w:rPr>
          <w:color w:val="auto"/>
        </w:rPr>
      </w:pPr>
      <w:r>
        <w:rPr>
          <w:rFonts w:ascii="Times New Roman" w:hAnsi="Times New Roman"/>
          <w:b w:val="0"/>
          <w:i w:val="0"/>
          <w:color w:val="auto"/>
          <w:sz w:val="24"/>
        </w:rPr>
        <w:t>[INSÉRER ICI : captures d'écran de l'ensemble des interfaces — page de connexion, dashboard recruteur (Kanban), espace candidat (onboarding, liste des offres), dashboard employé (profil, mobilité), LMS (catalogue, page de cours, quiz).]</w:t>
      </w:r>
    </w:p>
    <w:p w14:paraId="11A950F1">
      <w:pPr>
        <w:pStyle w:val="3"/>
        <w:jc w:val="left"/>
        <w:rPr>
          <w:color w:val="auto"/>
        </w:rPr>
      </w:pPr>
      <w:r>
        <w:rPr>
          <w:rFonts w:ascii="Times New Roman" w:hAnsi="Times New Roman"/>
          <w:color w:val="auto"/>
          <w:sz w:val="28"/>
        </w:rPr>
        <w:t>Annexe C – Modèle de données complet (ERD)</w:t>
      </w:r>
    </w:p>
    <w:p w14:paraId="32280856">
      <w:pPr>
        <w:spacing w:after="120"/>
        <w:ind w:firstLine="567"/>
        <w:jc w:val="both"/>
        <w:rPr>
          <w:color w:val="auto"/>
        </w:rPr>
      </w:pPr>
      <w:r>
        <w:rPr>
          <w:rFonts w:ascii="Times New Roman" w:hAnsi="Times New Roman"/>
          <w:b w:val="0"/>
          <w:i w:val="0"/>
          <w:color w:val="auto"/>
          <w:sz w:val="24"/>
        </w:rPr>
        <w:t>[INSÉRER ICI : diagramme entité-relation complet du schéma PostgreSQL, généré depuis les modèles SQLAlchemy à l'aide d'un outil comme eralchemy2 ou dbdiagram.io.]</w:t>
      </w:r>
    </w:p>
    <w:p w14:paraId="30A7F6B6">
      <w:pPr>
        <w:pStyle w:val="3"/>
        <w:jc w:val="left"/>
        <w:rPr>
          <w:color w:val="auto"/>
        </w:rPr>
      </w:pPr>
      <w:r>
        <w:rPr>
          <w:rFonts w:ascii="Times New Roman" w:hAnsi="Times New Roman"/>
          <w:color w:val="auto"/>
          <w:sz w:val="28"/>
        </w:rPr>
        <w:t>Annexe D – Documentation API (extrait Swagger)</w:t>
      </w:r>
    </w:p>
    <w:p w14:paraId="4F7108E7">
      <w:pPr>
        <w:spacing w:after="120"/>
        <w:ind w:firstLine="567"/>
        <w:jc w:val="both"/>
        <w:rPr>
          <w:color w:val="auto"/>
        </w:rPr>
      </w:pPr>
      <w:r>
        <w:rPr>
          <w:rFonts w:ascii="Times New Roman" w:hAnsi="Times New Roman"/>
          <w:b w:val="0"/>
          <w:i w:val="0"/>
          <w:color w:val="auto"/>
          <w:sz w:val="24"/>
        </w:rPr>
        <w:t>[INSÉRER ICI : captures du Swagger UI (http://localhost:8000/docs) montrant les principaux endpoints groupés par tags — Authentication, Applications, Candidates, Employees, Internal Mobility, LMS, Trainings.]</w:t>
      </w:r>
    </w:p>
    <w:p w14:paraId="3A0B3207">
      <w:pPr>
        <w:pStyle w:val="3"/>
        <w:jc w:val="left"/>
        <w:rPr>
          <w:color w:val="auto"/>
        </w:rPr>
      </w:pPr>
      <w:r>
        <w:rPr>
          <w:rFonts w:ascii="Times New Roman" w:hAnsi="Times New Roman"/>
          <w:color w:val="auto"/>
          <w:sz w:val="28"/>
        </w:rPr>
        <w:t>Annexe E – Résultats des tests</w:t>
      </w:r>
    </w:p>
    <w:p w14:paraId="61031D89">
      <w:pPr>
        <w:spacing w:after="120"/>
        <w:ind w:firstLine="567"/>
        <w:jc w:val="both"/>
        <w:rPr>
          <w:color w:val="auto"/>
        </w:rPr>
      </w:pPr>
      <w:r>
        <w:rPr>
          <w:rFonts w:ascii="Times New Roman" w:hAnsi="Times New Roman"/>
          <w:b w:val="0"/>
          <w:i w:val="0"/>
          <w:color w:val="auto"/>
          <w:sz w:val="24"/>
        </w:rPr>
        <w:t>[INSÉRER ICI : rapport de couverture des tests pytest (coverage report) et résultats des tests unitaires du moteur de matching avec les cas de test principaux.]</w:t>
      </w:r>
    </w:p>
    <w:sectPr>
      <w:pgSz w:w="12240" w:h="15840"/>
      <w:pgMar w:top="1417" w:right="1417"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Opus Chords Std"/>
    <w:panose1 w:val="00000000000000000000"/>
    <w:charset w:val="00"/>
    <w:family w:val="auto"/>
    <w:pitch w:val="default"/>
    <w:sig w:usb0="00000000" w:usb1="00000000" w:usb2="00000000" w:usb3="00000000" w:csb0="00000000" w:csb1="00000000"/>
  </w:font>
  <w:font w:name="Opus Chords Std">
    <w:panose1 w:val="02000400000000000000"/>
    <w:charset w:val="00"/>
    <w:family w:val="auto"/>
    <w:pitch w:val="default"/>
    <w:sig w:usb0="00000003" w:usb1="00000000" w:usb2="00000000" w:usb3="00000000" w:csb0="20000001"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7"/>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31"/>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4"/>
      <w:lvlText w:val=""/>
      <w:lvlJc w:val="left"/>
      <w:pPr>
        <w:tabs>
          <w:tab w:val="left" w:pos="360"/>
        </w:tabs>
        <w:ind w:left="360" w:hanging="360"/>
      </w:pPr>
      <w:rPr>
        <w:rFonts w:hint="default" w:ascii="Symbol" w:hAnsi="Symbol"/>
      </w:rPr>
    </w:lvl>
  </w:abstractNum>
  <w:num w:numId="1">
    <w:abstractNumId w:val="3"/>
  </w:num>
  <w:num w:numId="2">
    <w:abstractNumId w:val="0"/>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AC7B1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unhideWhenUsed="0" w:uiPriority="59" w:semiHidden="0" w:name="Table Grid"/>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character" w:styleId="12">
    <w:name w:val="Strong"/>
    <w:basedOn w:val="11"/>
    <w:qFormat/>
    <w:uiPriority w:val="22"/>
    <w:rPr>
      <w:b/>
      <w:bCs/>
    </w:rPr>
  </w:style>
  <w:style w:type="character" w:styleId="13">
    <w:name w:val="Emphasis"/>
    <w:basedOn w:val="11"/>
    <w:qFormat/>
    <w:uiPriority w:val="20"/>
    <w:rPr>
      <w:i/>
      <w:iCs/>
    </w:rPr>
  </w:style>
  <w:style w:type="paragraph" w:styleId="14">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
    <w:name w:val="List Bullet 2"/>
    <w:basedOn w:val="1"/>
    <w:unhideWhenUsed/>
    <w:uiPriority w:val="99"/>
    <w:pPr>
      <w:numPr>
        <w:ilvl w:val="0"/>
        <w:numId w:val="1"/>
      </w:numPr>
      <w:contextualSpacing/>
    </w:pPr>
  </w:style>
  <w:style w:type="paragraph" w:styleId="16">
    <w:name w:val="List Continue 2"/>
    <w:basedOn w:val="1"/>
    <w:unhideWhenUsed/>
    <w:uiPriority w:val="99"/>
    <w:pPr>
      <w:spacing w:after="120"/>
      <w:ind w:left="720"/>
      <w:contextualSpacing/>
    </w:pPr>
  </w:style>
  <w:style w:type="paragraph" w:styleId="17">
    <w:name w:val="List Number 3"/>
    <w:basedOn w:val="1"/>
    <w:unhideWhenUsed/>
    <w:uiPriority w:val="99"/>
    <w:pPr>
      <w:numPr>
        <w:ilvl w:val="0"/>
        <w:numId w:val="2"/>
      </w:numPr>
      <w:contextualSpacing/>
    </w:pPr>
  </w:style>
  <w:style w:type="paragraph" w:styleId="18">
    <w:name w:val="Body Text 3"/>
    <w:basedOn w:val="1"/>
    <w:link w:val="48"/>
    <w:unhideWhenUsed/>
    <w:uiPriority w:val="99"/>
    <w:pPr>
      <w:spacing w:after="120"/>
    </w:pPr>
    <w:rPr>
      <w:sz w:val="16"/>
      <w:szCs w:val="16"/>
    </w:rPr>
  </w:style>
  <w:style w:type="paragraph" w:styleId="19">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0">
    <w:name w:val="List Number"/>
    <w:basedOn w:val="1"/>
    <w:unhideWhenUsed/>
    <w:uiPriority w:val="99"/>
    <w:pPr>
      <w:numPr>
        <w:ilvl w:val="0"/>
        <w:numId w:val="3"/>
      </w:numPr>
      <w:contextualSpacing/>
    </w:pPr>
  </w:style>
  <w:style w:type="paragraph" w:styleId="21">
    <w:name w:val="Body Text"/>
    <w:basedOn w:val="1"/>
    <w:link w:val="46"/>
    <w:unhideWhenUsed/>
    <w:uiPriority w:val="99"/>
    <w:pPr>
      <w:spacing w:after="120"/>
    </w:pPr>
  </w:style>
  <w:style w:type="paragraph" w:styleId="22">
    <w:name w:val="List 3"/>
    <w:basedOn w:val="1"/>
    <w:unhideWhenUsed/>
    <w:uiPriority w:val="99"/>
    <w:pPr>
      <w:ind w:left="1080" w:hanging="360"/>
      <w:contextualSpacing/>
    </w:pPr>
  </w:style>
  <w:style w:type="paragraph" w:styleId="23">
    <w:name w:val="Body Text 2"/>
    <w:basedOn w:val="1"/>
    <w:link w:val="47"/>
    <w:unhideWhenUsed/>
    <w:uiPriority w:val="99"/>
    <w:pPr>
      <w:spacing w:after="120" w:line="480" w:lineRule="auto"/>
    </w:pPr>
  </w:style>
  <w:style w:type="paragraph" w:styleId="2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25">
    <w:name w:val="footer"/>
    <w:basedOn w:val="1"/>
    <w:link w:val="38"/>
    <w:unhideWhenUsed/>
    <w:qFormat/>
    <w:uiPriority w:val="99"/>
    <w:pPr>
      <w:tabs>
        <w:tab w:val="center" w:pos="4680"/>
        <w:tab w:val="right" w:pos="9360"/>
      </w:tabs>
      <w:spacing w:after="0" w:line="240" w:lineRule="auto"/>
    </w:pPr>
  </w:style>
  <w:style w:type="paragraph" w:styleId="26">
    <w:name w:val="List"/>
    <w:basedOn w:val="1"/>
    <w:unhideWhenUsed/>
    <w:uiPriority w:val="99"/>
    <w:pPr>
      <w:ind w:left="360" w:hanging="360"/>
      <w:contextualSpacing/>
    </w:pPr>
  </w:style>
  <w:style w:type="paragraph" w:styleId="27">
    <w:name w:val="header"/>
    <w:basedOn w:val="1"/>
    <w:link w:val="37"/>
    <w:unhideWhenUsed/>
    <w:qFormat/>
    <w:uiPriority w:val="99"/>
    <w:pPr>
      <w:tabs>
        <w:tab w:val="center" w:pos="4680"/>
        <w:tab w:val="right" w:pos="9360"/>
      </w:tabs>
      <w:spacing w:after="0" w:line="240" w:lineRule="auto"/>
    </w:pPr>
  </w:style>
  <w:style w:type="paragraph" w:styleId="28">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9">
    <w:name w:val="List Continue 3"/>
    <w:basedOn w:val="1"/>
    <w:unhideWhenUsed/>
    <w:uiPriority w:val="99"/>
    <w:pPr>
      <w:spacing w:after="120"/>
      <w:ind w:left="1080"/>
      <w:contextualSpacing/>
    </w:pPr>
  </w:style>
  <w:style w:type="paragraph" w:styleId="30">
    <w:name w:val="List Number 2"/>
    <w:basedOn w:val="1"/>
    <w:unhideWhenUsed/>
    <w:uiPriority w:val="99"/>
    <w:pPr>
      <w:numPr>
        <w:ilvl w:val="0"/>
        <w:numId w:val="4"/>
      </w:numPr>
      <w:contextualSpacing/>
    </w:pPr>
  </w:style>
  <w:style w:type="paragraph" w:styleId="31">
    <w:name w:val="List Bullet 3"/>
    <w:basedOn w:val="1"/>
    <w:unhideWhenUsed/>
    <w:uiPriority w:val="99"/>
    <w:pPr>
      <w:numPr>
        <w:ilvl w:val="0"/>
        <w:numId w:val="5"/>
      </w:numPr>
      <w:contextualSpacing/>
    </w:pPr>
  </w:style>
  <w:style w:type="paragraph" w:styleId="32">
    <w:name w:val="List 2"/>
    <w:basedOn w:val="1"/>
    <w:unhideWhenUsed/>
    <w:uiPriority w:val="99"/>
    <w:pPr>
      <w:ind w:left="720" w:hanging="360"/>
      <w:contextualSpacing/>
    </w:pPr>
  </w:style>
  <w:style w:type="paragraph" w:styleId="33">
    <w:name w:val="List Continue"/>
    <w:basedOn w:val="1"/>
    <w:unhideWhenUsed/>
    <w:uiPriority w:val="99"/>
    <w:pPr>
      <w:spacing w:after="120"/>
      <w:ind w:left="360"/>
      <w:contextualSpacing/>
    </w:pPr>
  </w:style>
  <w:style w:type="paragraph" w:styleId="34">
    <w:name w:val="List Bullet"/>
    <w:basedOn w:val="1"/>
    <w:unhideWhenUsed/>
    <w:uiPriority w:val="99"/>
    <w:pPr>
      <w:numPr>
        <w:ilvl w:val="0"/>
        <w:numId w:val="6"/>
      </w:numPr>
      <w:contextualSpacing/>
    </w:pPr>
  </w:style>
  <w:style w:type="paragraph" w:styleId="3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customStyle="1" w:styleId="37">
    <w:name w:val="Header Char"/>
    <w:basedOn w:val="11"/>
    <w:link w:val="27"/>
    <w:qFormat/>
    <w:uiPriority w:val="99"/>
  </w:style>
  <w:style w:type="character" w:customStyle="1" w:styleId="38">
    <w:name w:val="Footer Char"/>
    <w:basedOn w:val="11"/>
    <w:link w:val="25"/>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3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1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1"/>
    <w:uiPriority w:val="99"/>
  </w:style>
  <w:style w:type="character" w:customStyle="1" w:styleId="47">
    <w:name w:val="Body Text 2 Char"/>
    <w:basedOn w:val="11"/>
    <w:link w:val="23"/>
    <w:uiPriority w:val="99"/>
  </w:style>
  <w:style w:type="character" w:customStyle="1" w:styleId="48">
    <w:name w:val="Body Text 3 Char"/>
    <w:basedOn w:val="11"/>
    <w:link w:val="18"/>
    <w:uiPriority w:val="99"/>
    <w:rPr>
      <w:sz w:val="16"/>
      <w:szCs w:val="16"/>
    </w:rPr>
  </w:style>
  <w:style w:type="character" w:customStyle="1" w:styleId="49">
    <w:name w:val="Macro Text Char"/>
    <w:basedOn w:val="11"/>
    <w:link w:val="28"/>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Table Grid"/>
    <w:basedOn w:val="36"/>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67">
    <w:name w:val="Light Shading"/>
    <w:basedOn w:val="36"/>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8">
    <w:name w:val="Light Shading Accent 1"/>
    <w:basedOn w:val="36"/>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9">
    <w:name w:val="Light Shading Accent 2"/>
    <w:basedOn w:val="36"/>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0">
    <w:name w:val="Light Shading Accent 3"/>
    <w:basedOn w:val="36"/>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1">
    <w:name w:val="Light Shading Accent 4"/>
    <w:basedOn w:val="36"/>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2">
    <w:name w:val="Light Shading Accent 5"/>
    <w:basedOn w:val="36"/>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3">
    <w:name w:val="Light Shading Accent 6"/>
    <w:basedOn w:val="36"/>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4">
    <w:name w:val="Light List"/>
    <w:basedOn w:val="36"/>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5">
    <w:name w:val="Light List Accent 1"/>
    <w:basedOn w:val="36"/>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6">
    <w:name w:val="Light List Accent 2"/>
    <w:basedOn w:val="36"/>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7">
    <w:name w:val="Light List Accent 3"/>
    <w:basedOn w:val="36"/>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8">
    <w:name w:val="Light List Accent 4"/>
    <w:basedOn w:val="36"/>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9">
    <w:name w:val="Light List Accent 5"/>
    <w:basedOn w:val="36"/>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0">
    <w:name w:val="Light List Accent 6"/>
    <w:basedOn w:val="36"/>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1">
    <w:name w:val="Light Grid"/>
    <w:basedOn w:val="36"/>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2">
    <w:name w:val="Light Grid Accent 1"/>
    <w:basedOn w:val="36"/>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3">
    <w:name w:val="Light Grid Accent 2"/>
    <w:basedOn w:val="36"/>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4">
    <w:name w:val="Light Grid Accent 3"/>
    <w:basedOn w:val="36"/>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5">
    <w:name w:val="Light Grid Accent 4"/>
    <w:basedOn w:val="36"/>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6">
    <w:name w:val="Light Grid Accent 5"/>
    <w:basedOn w:val="36"/>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7">
    <w:name w:val="Light Grid Accent 6"/>
    <w:basedOn w:val="36"/>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8">
    <w:name w:val="Medium Shading 1"/>
    <w:basedOn w:val="36"/>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9">
    <w:name w:val="Medium Shading 1 Accent 1"/>
    <w:basedOn w:val="36"/>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0">
    <w:name w:val="Medium Shading 1 Accent 2"/>
    <w:basedOn w:val="36"/>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1">
    <w:name w:val="Medium Shading 1 Accent 3"/>
    <w:basedOn w:val="36"/>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2">
    <w:name w:val="Medium Shading 1 Accent 4"/>
    <w:basedOn w:val="36"/>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3">
    <w:name w:val="Medium Shading 1 Accent 5"/>
    <w:basedOn w:val="36"/>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4">
    <w:name w:val="Medium Shading 1 Accent 6"/>
    <w:basedOn w:val="36"/>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5">
    <w:name w:val="Medium Shading 2"/>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1"/>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2"/>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3"/>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4"/>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5"/>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6"/>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List 1"/>
    <w:basedOn w:val="36"/>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3">
    <w:name w:val="Medium List 1 Accent 1"/>
    <w:basedOn w:val="36"/>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4">
    <w:name w:val="Medium List 1 Accent 2"/>
    <w:basedOn w:val="36"/>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5">
    <w:name w:val="Medium List 1 Accent 3"/>
    <w:basedOn w:val="36"/>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6">
    <w:name w:val="Medium List 1 Accent 4"/>
    <w:basedOn w:val="36"/>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7">
    <w:name w:val="Medium List 1 Accent 5"/>
    <w:basedOn w:val="36"/>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8">
    <w:name w:val="Medium List 1 Accent 6"/>
    <w:basedOn w:val="36"/>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9">
    <w:name w:val="Medium Lis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1"/>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3"/>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4"/>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5"/>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6"/>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Grid 1"/>
    <w:basedOn w:val="36"/>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7">
    <w:name w:val="Medium Grid 1 Accent 1"/>
    <w:basedOn w:val="36"/>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8">
    <w:name w:val="Medium Grid 1 Accent 2"/>
    <w:basedOn w:val="36"/>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9">
    <w:name w:val="Medium Grid 1 Accent 3"/>
    <w:basedOn w:val="36"/>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0">
    <w:name w:val="Medium Grid 1 Accent 4"/>
    <w:basedOn w:val="36"/>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1">
    <w:name w:val="Medium Grid 1 Accent 5"/>
    <w:basedOn w:val="36"/>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2">
    <w:name w:val="Medium Grid 1 Accent 6"/>
    <w:basedOn w:val="36"/>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3">
    <w:name w:val="Medium Grid 2"/>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4">
    <w:name w:val="Medium Grid 2 Accent 1"/>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5">
    <w:name w:val="Medium Grid 2 Accent 2"/>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6">
    <w:name w:val="Medium Grid 2 Accent 3"/>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7">
    <w:name w:val="Medium Grid 2 Accent 4"/>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8">
    <w:name w:val="Medium Grid 2 Accent 5"/>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9">
    <w:name w:val="Medium Grid 2 Accent 6"/>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0">
    <w:name w:val="Medium Grid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1">
    <w:name w:val="Medium Grid 3 Accent 1"/>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2">
    <w:name w:val="Medium Grid 3 Accent 2"/>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3">
    <w:name w:val="Medium Grid 3 Accent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4">
    <w:name w:val="Medium Grid 3 Accent 4"/>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5">
    <w:name w:val="Medium Grid 3 Accent 5"/>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6">
    <w:name w:val="Medium Grid 3 Accent 6"/>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7">
    <w:name w:val="Dark List"/>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8">
    <w:name w:val="Dark List Accent 1"/>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9">
    <w:name w:val="Dark List Accent 2"/>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0">
    <w:name w:val="Dark List Accent 3"/>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1">
    <w:name w:val="Dark List Accent 4"/>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2">
    <w:name w:val="Dark List Accent 5"/>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3">
    <w:name w:val="Dark List Accent 6"/>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4">
    <w:name w:val="Colorful Shading"/>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1"/>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2"/>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7">
    <w:name w:val="Colorful Shading Accent 3"/>
    <w:basedOn w:val="36"/>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8">
    <w:name w:val="Colorful Shading Accent 4"/>
    <w:basedOn w:val="36"/>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5"/>
    <w:basedOn w:val="36"/>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Shading Accent 6"/>
    <w:basedOn w:val="36"/>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List"/>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2">
    <w:name w:val="Colorful List Accent 1"/>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3">
    <w:name w:val="Colorful List Accent 2"/>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4">
    <w:name w:val="Colorful List Accent 3"/>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5">
    <w:name w:val="Colorful List Accent 4"/>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6">
    <w:name w:val="Colorful List Accent 5"/>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7">
    <w:name w:val="Colorful List Accent 6"/>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8">
    <w:name w:val="Colorful Grid"/>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9">
    <w:name w:val="Colorful Grid Accent 1"/>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0">
    <w:name w:val="Colorful Grid Accent 2"/>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1">
    <w:name w:val="Colorful Grid Accent 3"/>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2">
    <w:name w:val="Colorful Grid Accent 4"/>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3">
    <w:name w:val="Colorful Grid Accent 5"/>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4">
    <w:name w:val="Colorful Grid Accent 6"/>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3251</Words>
  <Characters>19263</Characters>
  <Lines>0</Lines>
  <Paragraphs>0</Paragraphs>
  <TotalTime>123</TotalTime>
  <ScaleCrop>false</ScaleCrop>
  <LinksUpToDate>false</LinksUpToDate>
  <CharactersWithSpaces>22380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Houssine MIR</cp:lastModifiedBy>
  <dcterms:modified xsi:type="dcterms:W3CDTF">2026-06-15T04:10:25Z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eyJoZGlkIjoiNDRjYzE3YWI5MTk0NTg2ZTRlNTMxYzAxMGE0OWEwYmEiLCJ1c2VySWQiOiIzNzI4NTM2ODcxNzk5In0=</vt:lpwstr>
  </property>
  <property fmtid="{D5CDD505-2E9C-101B-9397-08002B2CF9AE}" pid="3" name="KSOProductBuildVer">
    <vt:lpwstr>1036-12.1.0.26880</vt:lpwstr>
  </property>
  <property fmtid="{D5CDD505-2E9C-101B-9397-08002B2CF9AE}" pid="4" name="ICV">
    <vt:lpwstr>0534948A06DC42F4B0FE2D8DC121E904_13</vt:lpwstr>
  </property>
</Properties>
</file>