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497D"/>
          <w:sz w:val="32"/>
        </w:rPr>
        <w:t>Recalibrage du rapport — deltas à intégrer</w:t>
      </w:r>
    </w:p>
    <w:p>
      <w:pPr>
        <w:spacing w:after="120"/>
        <w:jc w:val="both"/>
      </w:pPr>
      <w:r>
        <w:rPr>
          <w:rFonts w:ascii="Times New Roman" w:hAnsi="Times New Roman"/>
          <w:i w:val="0"/>
          <w:sz w:val="24"/>
        </w:rPr>
        <w:t>Ce document recense, correction par correction, les ajustements à apporter au rapport pour l'aligner sur l'état réel de la plateforme. Chaque entrée indique son emplacement, sa nature, et fournit un texte prêt à coller. Il ne modifie aucun fichier de rapport existant : vous intégrez les deltas manuellement, à votre rythme.</w:t>
      </w:r>
    </w:p>
    <w:p>
      <w:pPr>
        <w:pStyle w:val="Heading1"/>
      </w:pPr>
      <w:r>
        <w:rPr>
          <w:rFonts w:ascii="Times New Roman" w:hAnsi="Times New Roman"/>
          <w:color w:val="1F497D"/>
          <w:sz w:val="28"/>
        </w:rPr>
        <w:t>1. Corrections (sur-promesse → réalité) et mises à niveau</w:t>
      </w:r>
    </w:p>
    <w:p>
      <w:pPr>
        <w:pStyle w:val="Heading2"/>
      </w:pPr>
      <w:r>
        <w:rPr>
          <w:rFonts w:ascii="Times New Roman" w:hAnsi="Times New Roman"/>
          <w:color w:val="2E74B5"/>
          <w:sz w:val="26"/>
        </w:rPr>
        <w:t>Delta 1 — BF-18 — Pilotage GPEC désormais opérationnel et fermé</w:t>
      </w:r>
    </w:p>
    <w:p>
      <w:pPr>
        <w:spacing w:after="40"/>
      </w:pPr>
      <w:r>
        <w:rPr>
          <w:rFonts w:ascii="Times New Roman" w:hAnsi="Times New Roman"/>
          <w:b/>
          <w:color w:val="2E74B5"/>
          <w:sz w:val="22"/>
        </w:rPr>
        <w:t xml:space="preserve">Emplacement : </w:t>
      </w:r>
      <w:r>
        <w:rPr>
          <w:rFonts w:ascii="Times New Roman" w:hAnsi="Times New Roman"/>
          <w:sz w:val="22"/>
        </w:rPr>
        <w:t>Chapitre 3, §3.3.4 (besoin BF-18) ; écho au Chapitre 2, §GPEC.</w:t>
      </w:r>
    </w:p>
    <w:p>
      <w:pPr>
        <w:spacing w:after="40"/>
      </w:pPr>
      <w:r>
        <w:rPr>
          <w:rFonts w:ascii="Times New Roman" w:hAnsi="Times New Roman"/>
          <w:b/>
          <w:color w:val="2E74B5"/>
          <w:sz w:val="22"/>
        </w:rPr>
        <w:t xml:space="preserve">Nature : </w:t>
      </w:r>
      <w:r>
        <w:rPr>
          <w:rFonts w:ascii="Times New Roman" w:hAnsi="Times New Roman"/>
          <w:sz w:val="22"/>
        </w:rPr>
        <w:t>Mise à niveau — la fonctionnalité dépasse la promesse initiale (« première brique »).</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BF-18 — Pilotage GPEC. Le système fournit une cartographie agrégée des compétences de l'organisation (répartition par domaine métier, niveaux moyens, effectifs) et une analyse des écarts entre les compétences détenues par les collaborateurs et celles exigées par les postes ouverts. Chaque compétence est qualifiée — couverte, partielle ou critique — selon le nombre d'employés atteignant le niveau requis. L'analyse débouche directement sur l'action : depuis une compétence en tension, le responsable RH assigne, en quelques clics, la formation qui la valide aux employés qui en manquent. Le pilotage GPEC est ainsi fermé de bout en bout : état des lieux → analyse des écarts → plan d'action → réduction de l'écart par la boucle de mise à jour automatique du référentiel.</w:t>
      </w:r>
    </w:p>
    <w:p>
      <w:pPr>
        <w:spacing w:after="120"/>
        <w:jc w:val="both"/>
      </w:pPr>
      <w:r>
        <w:rPr>
          <w:rFonts w:ascii="Times New Roman" w:hAnsi="Times New Roman"/>
          <w:i/>
          <w:sz w:val="21"/>
        </w:rPr>
        <w:t>Conséquence pour le Chapitre 2 : la GPEC, présentée comme méthodologie, est désormais opérationnalisée à l'échelle de l'organisation (et non plus seulement par individu).</w:t>
      </w:r>
    </w:p>
    <w:p>
      <w:pPr>
        <w:pStyle w:val="Heading2"/>
      </w:pPr>
      <w:r>
        <w:rPr>
          <w:rFonts w:ascii="Times New Roman" w:hAnsi="Times New Roman"/>
          <w:color w:val="2E74B5"/>
          <w:sz w:val="26"/>
        </w:rPr>
        <w:t>Delta 2 — BF-16 — Double-écrit candidat + employé</w:t>
      </w:r>
    </w:p>
    <w:p>
      <w:pPr>
        <w:spacing w:after="40"/>
      </w:pPr>
      <w:r>
        <w:rPr>
          <w:rFonts w:ascii="Times New Roman" w:hAnsi="Times New Roman"/>
          <w:b/>
          <w:color w:val="2E74B5"/>
          <w:sz w:val="22"/>
        </w:rPr>
        <w:t xml:space="preserve">Emplacement : </w:t>
      </w:r>
      <w:r>
        <w:rPr>
          <w:rFonts w:ascii="Times New Roman" w:hAnsi="Times New Roman"/>
          <w:sz w:val="22"/>
        </w:rPr>
        <w:t>Chapitre 3, §3.3.4 (besoin BF-16).</w:t>
      </w:r>
    </w:p>
    <w:p>
      <w:pPr>
        <w:spacing w:after="40"/>
      </w:pPr>
      <w:r>
        <w:rPr>
          <w:rFonts w:ascii="Times New Roman" w:hAnsi="Times New Roman"/>
          <w:b/>
          <w:color w:val="2E74B5"/>
          <w:sz w:val="22"/>
        </w:rPr>
        <w:t xml:space="preserve">Nature : </w:t>
      </w:r>
      <w:r>
        <w:rPr>
          <w:rFonts w:ascii="Times New Roman" w:hAnsi="Times New Roman"/>
          <w:sz w:val="22"/>
        </w:rPr>
        <w:t>Correction de formulation — le rapport disait « son profil » sans préciser.</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BF-16 — Synchronisation formation → compétences. À la réussite de l'évaluation finale d'un cours, le niveau de la compétence correspondante est automatiquement relevé — jamais abaissé — dans les deux profils de l'individu : son profil candidat (vivier de talents) et son profil employé (vue organisation). Ce double-écrit garantit que la compétence acquise par la formation se reflète aussi bien dans l'analyse de profil individuelle que dans la cartographie GPEC organisationnelle.</w:t>
      </w:r>
    </w:p>
    <w:p>
      <w:pPr>
        <w:pStyle w:val="Heading2"/>
      </w:pPr>
      <w:r>
        <w:rPr>
          <w:rFonts w:ascii="Times New Roman" w:hAnsi="Times New Roman"/>
          <w:color w:val="2E74B5"/>
          <w:sz w:val="26"/>
        </w:rPr>
        <w:t>Delta 3 — BF-14 — Player étudiant et examen corrigé serveur</w:t>
      </w:r>
    </w:p>
    <w:p>
      <w:pPr>
        <w:spacing w:after="40"/>
      </w:pPr>
      <w:r>
        <w:rPr>
          <w:rFonts w:ascii="Times New Roman" w:hAnsi="Times New Roman"/>
          <w:b/>
          <w:color w:val="2E74B5"/>
          <w:sz w:val="22"/>
        </w:rPr>
        <w:t xml:space="preserve">Emplacement : </w:t>
      </w:r>
      <w:r>
        <w:rPr>
          <w:rFonts w:ascii="Times New Roman" w:hAnsi="Times New Roman"/>
          <w:sz w:val="22"/>
        </w:rPr>
        <w:t>Chapitre 3, §3.3.3 (besoin BF-14).</w:t>
      </w:r>
    </w:p>
    <w:p>
      <w:pPr>
        <w:spacing w:after="40"/>
      </w:pPr>
      <w:r>
        <w:rPr>
          <w:rFonts w:ascii="Times New Roman" w:hAnsi="Times New Roman"/>
          <w:b/>
          <w:color w:val="2E74B5"/>
          <w:sz w:val="22"/>
        </w:rPr>
        <w:t xml:space="preserve">Nature : </w:t>
      </w:r>
      <w:r>
        <w:rPr>
          <w:rFonts w:ascii="Times New Roman" w:hAnsi="Times New Roman"/>
          <w:sz w:val="22"/>
        </w:rPr>
        <w:t>Mise à niveau — l'expérience apprenant existe réellement désormais.</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BF-14 — Suivi et complétion d'une formation. L'employé accède au contenu structuré du cours (modules et sections : supports documentaires, vidéos), puis passe l'examen final. La correction est effectuée intégralement côté serveur — les bonnes réponses ne sont jamais transmises au client — et le score conditionne la validation : la compétence n'est relevée qu'en cas de réussite, selon un seuil paramétrable par le formateur. La complétion alimente automatiquement le référentiel (cf. BF-16).</w:t>
      </w:r>
    </w:p>
    <w:p>
      <w:pPr>
        <w:pStyle w:val="Heading2"/>
      </w:pPr>
      <w:r>
        <w:rPr>
          <w:rFonts w:ascii="Times New Roman" w:hAnsi="Times New Roman"/>
          <w:color w:val="2E74B5"/>
          <w:sz w:val="26"/>
        </w:rPr>
        <w:t>Delta 4 — Formation — deux dispositifs unifiés à la vue</w:t>
      </w:r>
    </w:p>
    <w:p>
      <w:pPr>
        <w:spacing w:after="40"/>
      </w:pPr>
      <w:r>
        <w:rPr>
          <w:rFonts w:ascii="Times New Roman" w:hAnsi="Times New Roman"/>
          <w:b/>
          <w:color w:val="2E74B5"/>
          <w:sz w:val="22"/>
        </w:rPr>
        <w:t xml:space="preserve">Emplacement : </w:t>
      </w:r>
      <w:r>
        <w:rPr>
          <w:rFonts w:ascii="Times New Roman" w:hAnsi="Times New Roman"/>
          <w:sz w:val="22"/>
        </w:rPr>
        <w:t>Chapitre 3 (module RH) et/ou Chapitre Réalisation.</w:t>
      </w:r>
    </w:p>
    <w:p>
      <w:pPr>
        <w:spacing w:after="40"/>
      </w:pPr>
      <w:r>
        <w:rPr>
          <w:rFonts w:ascii="Times New Roman" w:hAnsi="Times New Roman"/>
          <w:b/>
          <w:color w:val="2E74B5"/>
          <w:sz w:val="22"/>
        </w:rPr>
        <w:t xml:space="preserve">Nature : </w:t>
      </w:r>
      <w:r>
        <w:rPr>
          <w:rFonts w:ascii="Times New Roman" w:hAnsi="Times New Roman"/>
          <w:sz w:val="22"/>
        </w:rPr>
        <w:t>Précision honnête — la plateforme distingue deux dispositifs.</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La plateforme distingue, sur le plan technique, deux dispositifs de formation : les formations internes (rattachées au référentiel RH) et les cours en ligne du LMS. L'espace « Mes Formations » de l'employé les réunit en une vue unifiée. L'unification complète des deux modèles de données constitue une perspective d'évolution.</w:t>
      </w:r>
    </w:p>
    <w:p>
      <w:pPr>
        <w:pStyle w:val="Heading2"/>
      </w:pPr>
      <w:r>
        <w:rPr>
          <w:rFonts w:ascii="Times New Roman" w:hAnsi="Times New Roman"/>
          <w:color w:val="2E74B5"/>
          <w:sz w:val="26"/>
        </w:rPr>
        <w:t>Delta 5 — France Travail / ROME — « prête, activable »</w:t>
      </w:r>
    </w:p>
    <w:p>
      <w:pPr>
        <w:spacing w:after="40"/>
      </w:pPr>
      <w:r>
        <w:rPr>
          <w:rFonts w:ascii="Times New Roman" w:hAnsi="Times New Roman"/>
          <w:b/>
          <w:color w:val="2E74B5"/>
          <w:sz w:val="22"/>
        </w:rPr>
        <w:t xml:space="preserve">Emplacement : </w:t>
      </w:r>
      <w:r>
        <w:rPr>
          <w:rFonts w:ascii="Times New Roman" w:hAnsi="Times New Roman"/>
          <w:sz w:val="22"/>
        </w:rPr>
        <w:t>Chapitre 2 (référentiel des métiers, §ROME) et toute mention de France Travail.</w:t>
      </w:r>
    </w:p>
    <w:p>
      <w:pPr>
        <w:spacing w:after="40"/>
      </w:pPr>
      <w:r>
        <w:rPr>
          <w:rFonts w:ascii="Times New Roman" w:hAnsi="Times New Roman"/>
          <w:b/>
          <w:color w:val="2E74B5"/>
          <w:sz w:val="22"/>
        </w:rPr>
        <w:t xml:space="preserve">Nature : </w:t>
      </w:r>
      <w:r>
        <w:rPr>
          <w:rFonts w:ascii="Times New Roman" w:hAnsi="Times New Roman"/>
          <w:sz w:val="22"/>
        </w:rPr>
        <w:t>Correction d'exactitude — ne pas présenter comme « exploitée ».</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L'intégration de l'API France Travail (référentiel ROME) est prête et activable : elle requiert des identifiants d'accès. En leur absence, un référentiel statique de proximités métiers assure le fonctionnement du moteur de matching. L'exploitation enrichie du ROME — notamment ses tables de mobilité professionnelle, fondées sur des transitions réelles — constitue une perspective d'amélioration du calcul du potentiel.</w:t>
      </w:r>
    </w:p>
    <w:p>
      <w:pPr>
        <w:pStyle w:val="Heading2"/>
      </w:pPr>
      <w:r>
        <w:rPr>
          <w:rFonts w:ascii="Times New Roman" w:hAnsi="Times New Roman"/>
          <w:color w:val="2E74B5"/>
          <w:sz w:val="26"/>
        </w:rPr>
        <w:t>Delta 6 — Chapitre 3, §3.1 — Ancrage empirique du recueil des besoins</w:t>
      </w:r>
    </w:p>
    <w:p>
      <w:pPr>
        <w:spacing w:after="40"/>
      </w:pPr>
      <w:r>
        <w:rPr>
          <w:rFonts w:ascii="Times New Roman" w:hAnsi="Times New Roman"/>
          <w:b/>
          <w:color w:val="2E74B5"/>
          <w:sz w:val="22"/>
        </w:rPr>
        <w:t xml:space="preserve">Emplacement : </w:t>
      </w:r>
      <w:r>
        <w:rPr>
          <w:rFonts w:ascii="Times New Roman" w:hAnsi="Times New Roman"/>
          <w:sz w:val="22"/>
        </w:rPr>
        <w:t>Chapitre 3, §3.1 (démarche de recueil des besoins).</w:t>
      </w:r>
    </w:p>
    <w:p>
      <w:pPr>
        <w:spacing w:after="40"/>
      </w:pPr>
      <w:r>
        <w:rPr>
          <w:rFonts w:ascii="Times New Roman" w:hAnsi="Times New Roman"/>
          <w:b/>
          <w:color w:val="2E74B5"/>
          <w:sz w:val="22"/>
        </w:rPr>
        <w:t xml:space="preserve">Nature : </w:t>
      </w:r>
      <w:r>
        <w:rPr>
          <w:rFonts w:ascii="Times New Roman" w:hAnsi="Times New Roman"/>
          <w:sz w:val="22"/>
        </w:rPr>
        <w:t>Reformulation d'intégrité — n'affirmer que ce qui est documentable.</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Les besoins ont été dégagés par l'analyse des processus RH cibles (recrutement, mobilité interne, formation) et des référentiels de compétences existants, en concertation avec l'encadrement de l'organisme d'accueil. Les exigences ont ensuite été affinées de manière itérative au fil de la conception et des validations de prototypes.</w:t>
      </w:r>
    </w:p>
    <w:p>
      <w:pPr>
        <w:spacing w:after="120"/>
        <w:jc w:val="both"/>
      </w:pPr>
      <w:r>
        <w:rPr>
          <w:rFonts w:ascii="Times New Roman" w:hAnsi="Times New Roman"/>
          <w:i/>
          <w:sz w:val="21"/>
        </w:rPr>
        <w:t>Si des entretiens semi-directifs et des ateliers ont réellement eu lieu, conservez la formulation initiale ET joignez les artefacts en annexe (guide d'entretien, comptes-rendus). Sinon, remplacez par le texte ci-dessus.</w:t>
      </w:r>
    </w:p>
    <w:p>
      <w:pPr>
        <w:pStyle w:val="Heading1"/>
      </w:pPr>
      <w:r>
        <w:rPr>
          <w:rFonts w:ascii="Times New Roman" w:hAnsi="Times New Roman"/>
          <w:color w:val="1F497D"/>
          <w:sz w:val="28"/>
        </w:rPr>
        <w:t>2. Valorisations (l'app fait mieux que le rapport ne le dit)</w:t>
      </w:r>
    </w:p>
    <w:p>
      <w:pPr>
        <w:pStyle w:val="Heading2"/>
      </w:pPr>
      <w:r>
        <w:rPr>
          <w:rFonts w:ascii="Times New Roman" w:hAnsi="Times New Roman"/>
          <w:color w:val="2E74B5"/>
          <w:sz w:val="26"/>
        </w:rPr>
        <w:t>Delta 7 — Intégrité de l'évaluation — correction côté serveur</w:t>
      </w:r>
    </w:p>
    <w:p>
      <w:pPr>
        <w:spacing w:after="40"/>
      </w:pPr>
      <w:r>
        <w:rPr>
          <w:rFonts w:ascii="Times New Roman" w:hAnsi="Times New Roman"/>
          <w:b/>
          <w:color w:val="2E74B5"/>
          <w:sz w:val="22"/>
        </w:rPr>
        <w:t xml:space="preserve">Emplacement : </w:t>
      </w:r>
      <w:r>
        <w:rPr>
          <w:rFonts w:ascii="Times New Roman" w:hAnsi="Times New Roman"/>
          <w:sz w:val="22"/>
        </w:rPr>
        <w:t>Chapitre 4 (Conception, section sécurité) ou Chapitre Réalisation.</w:t>
      </w:r>
    </w:p>
    <w:p>
      <w:pPr>
        <w:spacing w:after="40"/>
      </w:pPr>
      <w:r>
        <w:rPr>
          <w:rFonts w:ascii="Times New Roman" w:hAnsi="Times New Roman"/>
          <w:b/>
          <w:color w:val="2E74B5"/>
          <w:sz w:val="22"/>
        </w:rPr>
        <w:t xml:space="preserve">Nature : </w:t>
      </w:r>
      <w:r>
        <w:rPr>
          <w:rFonts w:ascii="Times New Roman" w:hAnsi="Times New Roman"/>
          <w:sz w:val="22"/>
        </w:rPr>
        <w:t>Ajout — point fort non décrit.</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Intégrité de l'évaluation. La correction de l'examen final est réalisée exclusivement côté serveur : le client soumet les réponses sélectionnées, le serveur les confronte au corrigé (jamais exposé au navigateur) et calcule le score. Cette conception empêche toute falsification du résultat depuis le poste de l'apprenant et garantit que la validation d'une compétence — qui met à jour le référentiel — repose sur une preuve d'acquisition fiable.</w:t>
      </w:r>
    </w:p>
    <w:p>
      <w:pPr>
        <w:pStyle w:val="Heading2"/>
      </w:pPr>
      <w:r>
        <w:rPr>
          <w:rFonts w:ascii="Times New Roman" w:hAnsi="Times New Roman"/>
          <w:color w:val="2E74B5"/>
          <w:sz w:val="26"/>
        </w:rPr>
        <w:t>Delta 8 — Contrôle d'accès à deux niveaux (RBAC) et multi-tenant</w:t>
      </w:r>
    </w:p>
    <w:p>
      <w:pPr>
        <w:spacing w:after="40"/>
      </w:pPr>
      <w:r>
        <w:rPr>
          <w:rFonts w:ascii="Times New Roman" w:hAnsi="Times New Roman"/>
          <w:b/>
          <w:color w:val="2E74B5"/>
          <w:sz w:val="22"/>
        </w:rPr>
        <w:t xml:space="preserve">Emplacement : </w:t>
      </w:r>
      <w:r>
        <w:rPr>
          <w:rFonts w:ascii="Times New Roman" w:hAnsi="Times New Roman"/>
          <w:sz w:val="22"/>
        </w:rPr>
        <w:t>Chapitre 4 (Conception / sécurité).</w:t>
      </w:r>
    </w:p>
    <w:p>
      <w:pPr>
        <w:spacing w:after="40"/>
      </w:pPr>
      <w:r>
        <w:rPr>
          <w:rFonts w:ascii="Times New Roman" w:hAnsi="Times New Roman"/>
          <w:b/>
          <w:color w:val="2E74B5"/>
          <w:sz w:val="22"/>
        </w:rPr>
        <w:t xml:space="preserve">Nature : </w:t>
      </w:r>
      <w:r>
        <w:rPr>
          <w:rFonts w:ascii="Times New Roman" w:hAnsi="Times New Roman"/>
          <w:sz w:val="22"/>
        </w:rPr>
        <w:t>Ajout — granularité sous-décrite.</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Le contrôle d'accès est à deux niveaux : un rôle système (ADMIN, RECRUTEUR, CANDIDAT, EMPLOYÉ) et, par entreprise, un rôle interne porteur de permissions atomiques (par exemple « consultation des employés ») vérifiées à chaque opération sensible. Cette granularité permet de déléguer finement les droits au sein d'une organisation, tandis que l'isolation des données entre entités (architecture multi-tenant par identifiant d'entreprise) garantit la confidentialité inter-organisations.</w:t>
      </w:r>
    </w:p>
    <w:p>
      <w:pPr>
        <w:pStyle w:val="Heading2"/>
      </w:pPr>
      <w:r>
        <w:rPr>
          <w:rFonts w:ascii="Times New Roman" w:hAnsi="Times New Roman"/>
          <w:color w:val="2E74B5"/>
          <w:sz w:val="26"/>
        </w:rPr>
        <w:t>Delta 9 — Confidentialité des codes métiers (ROME interne)</w:t>
      </w:r>
    </w:p>
    <w:p>
      <w:pPr>
        <w:spacing w:after="40"/>
      </w:pPr>
      <w:r>
        <w:rPr>
          <w:rFonts w:ascii="Times New Roman" w:hAnsi="Times New Roman"/>
          <w:b/>
          <w:color w:val="2E74B5"/>
          <w:sz w:val="22"/>
        </w:rPr>
        <w:t xml:space="preserve">Emplacement : </w:t>
      </w:r>
      <w:r>
        <w:rPr>
          <w:rFonts w:ascii="Times New Roman" w:hAnsi="Times New Roman"/>
          <w:sz w:val="22"/>
        </w:rPr>
        <w:t>Chapitre 2 (§ROME) ou Chapitre 4 (analyse de profil).</w:t>
      </w:r>
    </w:p>
    <w:p>
      <w:pPr>
        <w:spacing w:after="40"/>
      </w:pPr>
      <w:r>
        <w:rPr>
          <w:rFonts w:ascii="Times New Roman" w:hAnsi="Times New Roman"/>
          <w:b/>
          <w:color w:val="2E74B5"/>
          <w:sz w:val="22"/>
        </w:rPr>
        <w:t xml:space="preserve">Nature : </w:t>
      </w:r>
      <w:r>
        <w:rPr>
          <w:rFonts w:ascii="Times New Roman" w:hAnsi="Times New Roman"/>
          <w:sz w:val="22"/>
        </w:rPr>
        <w:t>Ajout — choix de conception éthique/UX à mettre en avant.</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Un choix de conception structurant garantit que les codes métiers ROME, utilisés en interne pour relier compétences et domaines, ne sont jamais exposés à l'utilisateur. Le candidat ne voit que des libellés lisibles et des noms de compétences ; la liaison technique par code ROME demeure côté serveur. Cette discrétion évite d'enfermer l'individu dans une catégorisation métier et préserve la lisibilité de l'expérience.</w:t>
      </w:r>
    </w:p>
    <w:p>
      <w:pPr>
        <w:pStyle w:val="Heading2"/>
      </w:pPr>
      <w:r>
        <w:rPr>
          <w:rFonts w:ascii="Times New Roman" w:hAnsi="Times New Roman"/>
          <w:color w:val="2E74B5"/>
          <w:sz w:val="26"/>
        </w:rPr>
        <w:t>Delta 10 — BF-17 — Suggestions calibrées sur la demande réelle</w:t>
      </w:r>
    </w:p>
    <w:p>
      <w:pPr>
        <w:spacing w:after="40"/>
      </w:pPr>
      <w:r>
        <w:rPr>
          <w:rFonts w:ascii="Times New Roman" w:hAnsi="Times New Roman"/>
          <w:b/>
          <w:color w:val="2E74B5"/>
          <w:sz w:val="22"/>
        </w:rPr>
        <w:t xml:space="preserve">Emplacement : </w:t>
      </w:r>
      <w:r>
        <w:rPr>
          <w:rFonts w:ascii="Times New Roman" w:hAnsi="Times New Roman"/>
          <w:sz w:val="22"/>
        </w:rPr>
        <w:t>Chapitre 3, §3.3.4 (besoin BF-17).</w:t>
      </w:r>
    </w:p>
    <w:p>
      <w:pPr>
        <w:spacing w:after="40"/>
      </w:pPr>
      <w:r>
        <w:rPr>
          <w:rFonts w:ascii="Times New Roman" w:hAnsi="Times New Roman"/>
          <w:b/>
          <w:color w:val="2E74B5"/>
          <w:sz w:val="22"/>
        </w:rPr>
        <w:t xml:space="preserve">Nature : </w:t>
      </w:r>
      <w:r>
        <w:rPr>
          <w:rFonts w:ascii="Times New Roman" w:hAnsi="Times New Roman"/>
          <w:sz w:val="22"/>
        </w:rPr>
        <w:t>Précision — fiabilisation de l'analyse de profil.</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BF-17 — Analyse de profil et suggestions d'évolution. Le système identifie les domaines de compétence de l'individu, son niveau d'adéquation (fort, potentiel, à découvrir) et lui suggère des compétences à développer. Ces suggestions sont calibrées sur la demande réelle (les compétences exigées par les postes du domaine) plutôt que sur un catalogue exhaustif, et dédoublonnées par rapport aux compétences déjà détenues. L'individu reste maître de ses choix : le système suggère, il décide.</w:t>
      </w:r>
    </w:p>
    <w:p>
      <w:pPr>
        <w:pStyle w:val="Heading1"/>
      </w:pPr>
      <w:r>
        <w:rPr>
          <w:rFonts w:ascii="Times New Roman" w:hAnsi="Times New Roman"/>
          <w:color w:val="1F497D"/>
          <w:sz w:val="28"/>
        </w:rPr>
        <w:t>3. Renforcement de la thèse centrale</w:t>
      </w:r>
    </w:p>
    <w:p>
      <w:pPr>
        <w:pStyle w:val="Heading2"/>
      </w:pPr>
      <w:r>
        <w:rPr>
          <w:rFonts w:ascii="Times New Roman" w:hAnsi="Times New Roman"/>
          <w:color w:val="2E74B5"/>
          <w:sz w:val="26"/>
        </w:rPr>
        <w:t>Delta 11 — Référentiel vivant — démontré de bout en bout</w:t>
      </w:r>
    </w:p>
    <w:p>
      <w:pPr>
        <w:spacing w:after="40"/>
      </w:pPr>
      <w:r>
        <w:rPr>
          <w:rFonts w:ascii="Times New Roman" w:hAnsi="Times New Roman"/>
          <w:b/>
          <w:color w:val="2E74B5"/>
          <w:sz w:val="22"/>
        </w:rPr>
        <w:t xml:space="preserve">Emplacement : </w:t>
      </w:r>
      <w:r>
        <w:rPr>
          <w:rFonts w:ascii="Times New Roman" w:hAnsi="Times New Roman"/>
          <w:sz w:val="22"/>
        </w:rPr>
        <w:t>Chapitre 2, §2.3 (référentiel vivant) — paragraphe de clôture ; à reprendre en conclusion.</w:t>
      </w:r>
    </w:p>
    <w:p>
      <w:pPr>
        <w:spacing w:after="40"/>
      </w:pPr>
      <w:r>
        <w:rPr>
          <w:rFonts w:ascii="Times New Roman" w:hAnsi="Times New Roman"/>
          <w:b/>
          <w:color w:val="2E74B5"/>
          <w:sz w:val="22"/>
        </w:rPr>
        <w:t xml:space="preserve">Nature : </w:t>
      </w:r>
      <w:r>
        <w:rPr>
          <w:rFonts w:ascii="Times New Roman" w:hAnsi="Times New Roman"/>
          <w:sz w:val="22"/>
        </w:rPr>
        <w:t>Renforcement — la thèse est désormais prouvée par la réalisation.</w:t>
      </w:r>
    </w:p>
    <w:p>
      <w:pPr>
        <w:spacing w:after="0"/>
      </w:pPr>
      <w:r>
        <w:rPr>
          <w:rFonts w:ascii="Times New Roman" w:hAnsi="Times New Roman"/>
          <w:b/>
          <w:sz w:val="22"/>
        </w:rPr>
        <w:t>Texte à intégrer :</w:t>
      </w:r>
    </w:p>
    <w:p>
      <w:pPr>
        <w:spacing w:before="80" w:after="200"/>
        <w:ind w:left="340" w:right="227"/>
        <w:jc w:val="both"/>
        <w:pBdr>
          <w:left w:val="single" w:sz="6" w:space="8" w:color="BBBBBB"/>
          <w:top w:val="single" w:sz="6" w:space="8" w:color="BBBBBB"/>
          <w:right w:val="single" w:sz="6" w:space="8" w:color="BBBBBB"/>
          <w:bottom w:val="single" w:sz="6" w:space="8" w:color="BBBBBB"/>
        </w:pBdr>
        <w:shd w:val="clear" w:color="auto" w:fill="F4F7FB"/>
      </w:pPr>
      <w:r>
        <w:rPr>
          <w:rFonts w:ascii="Times New Roman" w:hAnsi="Times New Roman"/>
          <w:sz w:val="23"/>
        </w:rPr>
        <w:t>Au terme de la réalisation, le cycle du référentiel vivant est démontré de bout en bout : une compétence validée par une formation se répercute automatiquement dans le profil de l'individu (candidat et employé) et dans la cartographie organisationnelle, où elle réduit un écart précédemment identifié. Le référentiel n'est donc pas un inventaire figé, mais une cartographie continuellement réalimentée par les apprentissages, les mobilités et les recrutements. Précisons-en la portée exacte : c'est l'instanciation par individu qui est vivante ; la structure même du référentiel (l'inventaire des compétences et des métiers de référence) demeure maintenue par l'organisation, son auto-évolution restant une perspective.</w:t>
      </w:r>
    </w:p>
    <w:sectPr w:rsidR="00FC693F" w:rsidRPr="0006063C" w:rsidSect="00034616">
      <w:pgSz w:w="12240" w:h="15840"/>
      <w:pgMar w:top="1361" w:right="1361"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