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2 : De l'ingénierie des compétences au référentiel vivant — cadre théorique et étude de l'existant</w:t>
      </w:r>
    </w:p>
    <w:p>
      <w:pPr>
        <w:spacing w:after="120"/>
        <w:ind w:firstLine="567"/>
        <w:jc w:val="both"/>
      </w:pPr>
      <w:r>
        <w:rPr>
          <w:rFonts w:ascii="Times New Roman" w:hAnsi="Times New Roman"/>
          <w:sz w:val="24"/>
        </w:rPr>
        <w:t>Ce chapitre construit le cadre théorique et le positionnement de RecruitPRO. Plutôt que de juxtaposer une revue de concepts issus de la gestion des ressources humaines et un panorama d'outils logiciels, il suit un fil unique : celui de la compétence considérée comme un objet d'ingénierie. Nous partons de la notion de compétence et de ses fondements théoriques (2.1), montrons comment les organisations sont progressivement passées d'une logique de gestion à une logique d'ingénierie des compétences (2.2), puis formulons la question qui sous-tend l'ensemble de ce projet — celle du référentiel vivant (2.3). C'est à l'aune de cette question que nous examinons ensuite les systèmes numériques existants (2.4), avant de conclure sur le positionnement original de la plateforme (2.5).</w:t>
      </w:r>
    </w:p>
    <w:p>
      <w:pPr>
        <w:pStyle w:val="Heading2"/>
      </w:pPr>
      <w:r>
        <w:rPr>
          <w:rFonts w:ascii="Times New Roman" w:hAnsi="Times New Roman"/>
          <w:color w:val="2E74B5"/>
          <w:sz w:val="28"/>
        </w:rPr>
        <w:t>2.1 La compétence : fondements théoriques</w:t>
      </w:r>
    </w:p>
    <w:p>
      <w:pPr>
        <w:spacing w:after="120"/>
        <w:ind w:firstLine="567"/>
        <w:jc w:val="both"/>
      </w:pPr>
      <w:r>
        <w:rPr>
          <w:rFonts w:ascii="Times New Roman" w:hAnsi="Times New Roman"/>
          <w:sz w:val="24"/>
        </w:rPr>
        <w:t>La compétence est une notion polysémique qui a fait l'objet de nombreuses définitions dans la littérature académique et managériale. Comprendre sa nature est un préalable indispensable : c'est elle que la plateforme doit modéliser, comparer et faire évoluer. Cette section en pose les fondements avant d'expliciter, en toute transparence, la modélisation opérationnelle retenue dans RecruitPRO.</w:t>
      </w:r>
    </w:p>
    <w:p>
      <w:pPr>
        <w:pStyle w:val="Heading3"/>
      </w:pPr>
      <w:r>
        <w:rPr>
          <w:rFonts w:ascii="Times New Roman" w:hAnsi="Times New Roman"/>
          <w:b/>
          <w:sz w:val="24"/>
        </w:rPr>
        <w:t>2.1.1 De la qualification à la compétence</w:t>
      </w:r>
    </w:p>
    <w:p>
      <w:pPr>
        <w:spacing w:after="120"/>
        <w:ind w:firstLine="567"/>
        <w:jc w:val="both"/>
      </w:pPr>
      <w:r>
        <w:rPr>
          <w:rFonts w:ascii="Times New Roman" w:hAnsi="Times New Roman"/>
          <w:sz w:val="24"/>
        </w:rPr>
        <w:t>La montée en puissance de la logique compétence s'est accompagnée d'un recul progressif de la notion de qualification. Alors que la qualification renvoie principalement à un diplôme, un titre ou une classification de poste, la compétence s'intéresse davantage à la capacité effective d'un individu à agir dans une situation professionnelle donnée. Pour Le Boterf (2000), l'enjeu n'est pas tant de posséder des connaissances que de savoir les mobiliser de manière pertinente dans l'action.</w:t>
      </w:r>
    </w:p>
    <w:p>
      <w:pPr>
        <w:spacing w:after="120"/>
        <w:ind w:firstLine="567"/>
        <w:jc w:val="both"/>
      </w:pPr>
      <w:r>
        <w:rPr>
          <w:rFonts w:ascii="Times New Roman" w:hAnsi="Times New Roman"/>
          <w:sz w:val="24"/>
        </w:rPr>
        <w:t>Cette évolution répond à la transformation des organisations contemporaines, où les situations de travail deviennent plus complexes, moins prescrites et exigent davantage d'autonomie et d'initiative de la part des collaborateurs. Dans ce contexte, l'évaluation d'un individu ne peut plus se limiter à son diplôme ou à son ancienneté : elle doit intégrer sa capacité à résoudre des situations professionnelles concrètes. C'est ce déplacement — du titre détenu vers l'action réussie — qui fonde la pertinence d'un système de gestion des compétences distinct d'un simple annuaire de qualifications.</w:t>
      </w:r>
    </w:p>
    <w:p>
      <w:pPr>
        <w:pStyle w:val="Heading3"/>
      </w:pPr>
      <w:r>
        <w:rPr>
          <w:rFonts w:ascii="Times New Roman" w:hAnsi="Times New Roman"/>
          <w:b/>
          <w:sz w:val="24"/>
        </w:rPr>
        <w:t>2.1.2 Les principaux modèles théoriques de la compétence</w:t>
      </w:r>
    </w:p>
    <w:p>
      <w:pPr>
        <w:spacing w:after="120"/>
        <w:ind w:firstLine="567"/>
        <w:jc w:val="both"/>
      </w:pPr>
      <w:r>
        <w:rPr>
          <w:rFonts w:ascii="Times New Roman" w:hAnsi="Times New Roman"/>
          <w:sz w:val="24"/>
        </w:rPr>
        <w:t>Guy Le Boterf distingue les ressources de la compétence elle-même. Les ressources regroupent les connaissances, savoir-faire, expériences ou réseaux mobilisables ; la compétence n'est pas constituée par ces ressources, mais par leur mobilisation pertinente dans une situation donnée. Selon sa formule devenue classique, la compétence relève du « savoir mobiliser » plutôt que du simple savoir ou savoir-faire. Elle est donc, par nature, contextuelle et orientée vers l'action.</w:t>
      </w:r>
    </w:p>
    <w:p>
      <w:pPr>
        <w:spacing w:after="120"/>
        <w:ind w:firstLine="567"/>
        <w:jc w:val="both"/>
      </w:pPr>
      <w:r>
        <w:rPr>
          <w:rFonts w:ascii="Times New Roman" w:hAnsi="Times New Roman"/>
          <w:sz w:val="24"/>
        </w:rPr>
        <w:t>Philippe Zarifian adopte une approche complémentaire en définissant la compétence comme une prise d'initiative et de responsabilité face aux situations professionnelles. Il insiste sur la dimension d'autonomie et sur la capacité de l'individu à produire une réponse adaptée à un événement imprévu. La compétence devient alors une intelligence pratique des situations, et non l'application mécanique d'une procédure.</w:t>
      </w:r>
    </w:p>
    <w:p>
      <w:pPr>
        <w:spacing w:after="120"/>
        <w:ind w:firstLine="567"/>
        <w:jc w:val="both"/>
      </w:pPr>
      <w:r>
        <w:rPr>
          <w:rFonts w:ascii="Times New Roman" w:hAnsi="Times New Roman"/>
          <w:sz w:val="24"/>
        </w:rPr>
        <w:t>Le modèle de Spencer et Spencer (1993), connu sous le nom de modèle de l'iceberg, propose une représentation de la compétence en deux strates. Les connaissances et les savoir-faire constituent la partie visible de l'iceberg, facilement observable et mesurable. En revanche, les motivations, les traits de personnalité, les valeurs et les caractéristiques individuelles forment la partie immergée, plus difficile à identifier mais souvent déterminante dans la performance. Cette distinction est précieuse pour notre propos : elle montre que tout système de gestion des compétences fondé sur des données déclarées ne capture, par construction, que la partie émergée — limite que nous assumerons explicitement.</w:t>
      </w:r>
    </w:p>
    <w:p>
      <w:pPr>
        <w:pStyle w:val="Heading3"/>
      </w:pPr>
      <w:r>
        <w:rPr>
          <w:rFonts w:ascii="Times New Roman" w:hAnsi="Times New Roman"/>
          <w:b/>
          <w:sz w:val="24"/>
        </w:rPr>
        <w:t>2.1.3 Les quatre dimensions de la compétence</w:t>
      </w:r>
    </w:p>
    <w:p>
      <w:pPr>
        <w:spacing w:after="120"/>
        <w:ind w:firstLine="567"/>
        <w:jc w:val="both"/>
      </w:pPr>
      <w:r>
        <w:rPr>
          <w:rFonts w:ascii="Times New Roman" w:hAnsi="Times New Roman"/>
          <w:sz w:val="24"/>
        </w:rPr>
        <w:t>Au-delà de ces modèles, la tradition des sciences de la formation décompose la compétence en plusieurs registres complémentaires qui se superposent sans s'annuler. Quatre dimensions sont aujourd'hui couramment retenues :</w:t>
      </w:r>
    </w:p>
    <w:p>
      <w:pPr>
        <w:pStyle w:val="ListBullet"/>
        <w:ind w:left="567"/>
        <w:jc w:val="both"/>
      </w:pPr>
      <w:r>
        <w:rPr>
          <w:rFonts w:ascii="Times New Roman" w:hAnsi="Times New Roman"/>
          <w:b/>
          <w:sz w:val="24"/>
        </w:rPr>
        <w:t>Le savoir</w:t>
      </w:r>
      <w:r>
        <w:rPr>
          <w:rFonts w:ascii="Times New Roman" w:hAnsi="Times New Roman"/>
          <w:sz w:val="24"/>
        </w:rPr>
        <w:t xml:space="preserve"> : l'ensemble des connaissances théoriques et spécialisées acquises par la formation ou l'expérience.</w:t>
      </w:r>
    </w:p>
    <w:p>
      <w:pPr>
        <w:pStyle w:val="ListBullet"/>
        <w:ind w:left="567"/>
        <w:jc w:val="both"/>
      </w:pPr>
      <w:r>
        <w:rPr>
          <w:rFonts w:ascii="Times New Roman" w:hAnsi="Times New Roman"/>
          <w:b/>
          <w:sz w:val="24"/>
        </w:rPr>
        <w:t>Le savoir-faire</w:t>
      </w:r>
      <w:r>
        <w:rPr>
          <w:rFonts w:ascii="Times New Roman" w:hAnsi="Times New Roman"/>
          <w:sz w:val="24"/>
        </w:rPr>
        <w:t xml:space="preserve"> : la mise en œuvre concrète de ces connaissances dans des situations réelles — les habiletés pratiques.</w:t>
      </w:r>
    </w:p>
    <w:p>
      <w:pPr>
        <w:pStyle w:val="ListBullet"/>
        <w:ind w:left="567"/>
        <w:jc w:val="both"/>
      </w:pPr>
      <w:r>
        <w:rPr>
          <w:rFonts w:ascii="Times New Roman" w:hAnsi="Times New Roman"/>
          <w:b/>
          <w:sz w:val="24"/>
        </w:rPr>
        <w:t>Le savoir-être</w:t>
      </w:r>
      <w:r>
        <w:rPr>
          <w:rFonts w:ascii="Times New Roman" w:hAnsi="Times New Roman"/>
          <w:sz w:val="24"/>
        </w:rPr>
        <w:t xml:space="preserve"> : les attitudes comportementales, la posture professionnelle et la capacité à coopérer.</w:t>
      </w:r>
    </w:p>
    <w:p>
      <w:pPr>
        <w:pStyle w:val="ListBullet"/>
        <w:ind w:left="567"/>
        <w:jc w:val="both"/>
      </w:pPr>
      <w:r>
        <w:rPr>
          <w:rFonts w:ascii="Times New Roman" w:hAnsi="Times New Roman"/>
          <w:b/>
          <w:sz w:val="24"/>
        </w:rPr>
        <w:t>Le savoir-évoluer</w:t>
      </w:r>
      <w:r>
        <w:rPr>
          <w:rFonts w:ascii="Times New Roman" w:hAnsi="Times New Roman"/>
          <w:sz w:val="24"/>
        </w:rPr>
        <w:t xml:space="preserve"> : la capacité d'adaptation et d'apprentissage face aux évolutions technologiques, organisationnelles et métiers — autrement dit, le degré de plasticité d'un individu.</w:t>
      </w:r>
    </w:p>
    <w:p>
      <w:pPr>
        <w:spacing w:after="120"/>
        <w:ind w:firstLine="567"/>
        <w:jc w:val="both"/>
      </w:pPr>
      <w:r>
        <w:rPr>
          <w:rFonts w:ascii="Times New Roman" w:hAnsi="Times New Roman"/>
          <w:sz w:val="24"/>
        </w:rPr>
        <w:t>Cette quatrième dimension est décisive pour notre projet. Le savoir-évoluer ne décrit pas ce qu'un individu sait faire aujourd'hui, mais sa capacité à acquérir demain de nouvelles compétences. Or c'est exactement ce que cherche à estimer le score de potentiel du moteur de matching de RecruitPRO, par opposition au score de fit qui mesure l'adéquation immédiate. La dualité fit / potentiel implémentée dans la plateforme n'est donc pas une astuce algorithmique : c'est la traduction informatique de la distinction entre compétence acquise (savoir-agir) et capacité d'évolution (savoir-évoluer).</w:t>
      </w:r>
    </w:p>
    <w:p>
      <w:pPr>
        <w:spacing w:after="120"/>
        <w:ind w:firstLine="567"/>
        <w:jc w:val="both"/>
      </w:pPr>
      <w:r>
        <w:rPr>
          <w:rFonts w:ascii="Times New Roman" w:hAnsi="Times New Roman"/>
          <w:sz w:val="24"/>
        </w:rPr>
        <w:t>Une lecture complémentaire, également issue des travaux de Le Boterf, énonce trois conditions à l'expression effective de la compétence en situation :</w:t>
      </w:r>
    </w:p>
    <w:p>
      <w:pPr>
        <w:pStyle w:val="ListBullet"/>
        <w:ind w:left="567"/>
        <w:jc w:val="both"/>
      </w:pPr>
      <w:r>
        <w:rPr>
          <w:rFonts w:ascii="Times New Roman" w:hAnsi="Times New Roman"/>
          <w:b/>
          <w:sz w:val="24"/>
        </w:rPr>
        <w:t>Le savoir-agir</w:t>
      </w:r>
      <w:r>
        <w:rPr>
          <w:rFonts w:ascii="Times New Roman" w:hAnsi="Times New Roman"/>
          <w:sz w:val="24"/>
        </w:rPr>
        <w:t xml:space="preserve"> : la capacité réelle de mobiliser ses ressources (dimension cognitive et technique).</w:t>
      </w:r>
    </w:p>
    <w:p>
      <w:pPr>
        <w:pStyle w:val="ListBullet"/>
        <w:ind w:left="567"/>
        <w:jc w:val="both"/>
      </w:pPr>
      <w:r>
        <w:rPr>
          <w:rFonts w:ascii="Times New Roman" w:hAnsi="Times New Roman"/>
          <w:b/>
          <w:sz w:val="24"/>
        </w:rPr>
        <w:t>Le vouloir-agir</w:t>
      </w:r>
      <w:r>
        <w:rPr>
          <w:rFonts w:ascii="Times New Roman" w:hAnsi="Times New Roman"/>
          <w:sz w:val="24"/>
        </w:rPr>
        <w:t xml:space="preserve"> : la motivation intrinsèque qui pousse l'individu à s'engager (dimension affective).</w:t>
      </w:r>
    </w:p>
    <w:p>
      <w:pPr>
        <w:pStyle w:val="ListBullet"/>
        <w:ind w:left="567"/>
        <w:jc w:val="both"/>
      </w:pPr>
      <w:r>
        <w:rPr>
          <w:rFonts w:ascii="Times New Roman" w:hAnsi="Times New Roman"/>
          <w:b/>
          <w:sz w:val="24"/>
        </w:rPr>
        <w:t>Le pouvoir-agir</w:t>
      </w:r>
      <w:r>
        <w:rPr>
          <w:rFonts w:ascii="Times New Roman" w:hAnsi="Times New Roman"/>
          <w:sz w:val="24"/>
        </w:rPr>
        <w:t xml:space="preserve"> : le contexte organisationnel et managérial qui rend possible — ou empêche — l'expression de la compétence (dimension environnementale).</w:t>
      </w:r>
    </w:p>
    <w:p>
      <w:pPr>
        <w:spacing w:before="160" w:after="160"/>
        <w:ind w:left="680" w:right="680"/>
        <w:jc w:val="both"/>
        <w:pBdr>
          <w:left w:val="single" w:sz="18" w:space="12" w:color="2E74B5"/>
        </w:pBdr>
      </w:pPr>
      <w:r>
        <w:rPr>
          <w:rFonts w:ascii="Times New Roman" w:hAnsi="Times New Roman"/>
          <w:b/>
          <w:color w:val="1F497D"/>
          <w:sz w:val="22"/>
        </w:rPr>
        <w:t xml:space="preserve">Limite assumée — </w:t>
      </w:r>
      <w:r>
        <w:rPr>
          <w:rFonts w:ascii="Times New Roman" w:hAnsi="Times New Roman"/>
          <w:i/>
          <w:sz w:val="22"/>
        </w:rPr>
        <w:t>RecruitPRO modélise principalement le savoir-agir (à travers les compétences déclarées et leurs niveaux) et le savoir-évoluer (à travers le score de potentiel). Le vouloir-agir (motivation) et le pouvoir-agir (contexte organisationnel) — qui correspondent en partie à la « partie immergée » du modèle de Spencer et Spencer — ne sont pas quantifiés dans la version actuelle. Ils constituent une perspective d'enrichissement que nous discuterons en conclusion. Reconnaître cette limite n'affaiblit pas le système : cela précise le périmètre exact de ce qu'il prétend mesurer.</w:t>
      </w:r>
    </w:p>
    <w:p>
      <w:pPr>
        <w:pStyle w:val="Heading3"/>
      </w:pPr>
      <w:r>
        <w:rPr>
          <w:rFonts w:ascii="Times New Roman" w:hAnsi="Times New Roman"/>
          <w:b/>
          <w:sz w:val="24"/>
        </w:rPr>
        <w:t>2.1.4 La hiérarchisation des compétences par niveau de maîtrise</w:t>
      </w:r>
    </w:p>
    <w:p>
      <w:pPr>
        <w:spacing w:after="120"/>
        <w:ind w:firstLine="567"/>
        <w:jc w:val="both"/>
      </w:pPr>
      <w:r>
        <w:rPr>
          <w:rFonts w:ascii="Times New Roman" w:hAnsi="Times New Roman"/>
          <w:sz w:val="24"/>
        </w:rPr>
        <w:t>La compétence n'est pas binaire : elle s'acquiert progressivement, et cette progression peut être modélisée en niveaux de maîtrise. Ce modèle s'inspire des logiques de progression observées dans plusieurs référentiels de développement de l'expertise, notamment le modèle de Dreyfus et Dreyfus (1980), qui décrit l'évolution d'un individu depuis l'acquisition de connaissances élémentaires jusqu'à l'expertise. Afin de conserver une représentation simple et exploitable dans un contexte de gestion des compétences, les cinq niveaux du modèle initial ont été regroupés en quatre niveaux opérationnels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1"/>
              </w:rPr>
              <w:t>Niveau</w:t>
            </w:r>
          </w:p>
        </w:tc>
        <w:tc>
          <w:tcPr>
            <w:tcW w:type="dxa" w:w="3041"/>
            <w:shd w:val="clear" w:color="auto" w:fill="1F497D"/>
          </w:tcPr>
          <w:p>
            <w:pPr>
              <w:jc w:val="center"/>
            </w:pPr>
            <w:r>
              <w:rPr>
                <w:rFonts w:ascii="Times New Roman" w:hAnsi="Times New Roman"/>
                <w:b/>
                <w:color w:val="FFFFFF"/>
                <w:sz w:val="21"/>
              </w:rPr>
              <w:t>Dénomination</w:t>
            </w:r>
          </w:p>
        </w:tc>
        <w:tc>
          <w:tcPr>
            <w:tcW w:type="dxa" w:w="3041"/>
            <w:shd w:val="clear" w:color="auto" w:fill="1F497D"/>
          </w:tcPr>
          <w:p>
            <w:pPr>
              <w:jc w:val="center"/>
            </w:pPr>
            <w:r>
              <w:rPr>
                <w:rFonts w:ascii="Times New Roman" w:hAnsi="Times New Roman"/>
                <w:b/>
                <w:color w:val="FFFFFF"/>
                <w:sz w:val="21"/>
              </w:rPr>
              <w:t>Description opérationnelle</w:t>
            </w:r>
          </w:p>
        </w:tc>
      </w:tr>
      <w:tr>
        <w:tc>
          <w:tcPr>
            <w:tcW w:type="dxa" w:w="3041"/>
          </w:tcPr>
          <w:p>
            <w:r>
              <w:rPr>
                <w:rFonts w:ascii="Times New Roman" w:hAnsi="Times New Roman"/>
                <w:b/>
                <w:sz w:val="21"/>
              </w:rPr>
              <w:t>1 — Initiation</w:t>
            </w:r>
          </w:p>
        </w:tc>
        <w:tc>
          <w:tcPr>
            <w:tcW w:type="dxa" w:w="3041"/>
          </w:tcPr>
          <w:p>
            <w:r>
              <w:rPr>
                <w:rFonts w:ascii="Times New Roman" w:hAnsi="Times New Roman"/>
                <w:sz w:val="21"/>
              </w:rPr>
              <w:t>Notions de base</w:t>
            </w:r>
          </w:p>
        </w:tc>
        <w:tc>
          <w:tcPr>
            <w:tcW w:type="dxa" w:w="3041"/>
          </w:tcPr>
          <w:p>
            <w:r>
              <w:rPr>
                <w:rFonts w:ascii="Times New Roman" w:hAnsi="Times New Roman"/>
                <w:sz w:val="21"/>
              </w:rPr>
              <w:t>Compréhension élémentaire ; capacité à suivre des instructions simples sous supervision étroite.</w:t>
            </w:r>
          </w:p>
        </w:tc>
      </w:tr>
      <w:tr>
        <w:tc>
          <w:tcPr>
            <w:tcW w:type="dxa" w:w="3041"/>
            <w:shd w:val="clear" w:color="auto" w:fill="EAF1F8"/>
          </w:tcPr>
          <w:p>
            <w:r>
              <w:rPr>
                <w:rFonts w:ascii="Times New Roman" w:hAnsi="Times New Roman"/>
                <w:b/>
                <w:sz w:val="21"/>
              </w:rPr>
              <w:t>2 — Opérationnel</w:t>
            </w:r>
          </w:p>
        </w:tc>
        <w:tc>
          <w:tcPr>
            <w:tcW w:type="dxa" w:w="3041"/>
            <w:shd w:val="clear" w:color="auto" w:fill="EAF1F8"/>
          </w:tcPr>
          <w:p>
            <w:r>
              <w:rPr>
                <w:rFonts w:ascii="Times New Roman" w:hAnsi="Times New Roman"/>
                <w:sz w:val="21"/>
              </w:rPr>
              <w:t>Application pratique</w:t>
            </w:r>
          </w:p>
        </w:tc>
        <w:tc>
          <w:tcPr>
            <w:tcW w:type="dxa" w:w="3041"/>
            <w:shd w:val="clear" w:color="auto" w:fill="EAF1F8"/>
          </w:tcPr>
          <w:p>
            <w:r>
              <w:rPr>
                <w:rFonts w:ascii="Times New Roman" w:hAnsi="Times New Roman"/>
                <w:sz w:val="21"/>
              </w:rPr>
              <w:t>Capacité à appliquer la compétence dans des situations courantes, avec un accompagnement ponctuel.</w:t>
            </w:r>
          </w:p>
        </w:tc>
      </w:tr>
      <w:tr>
        <w:tc>
          <w:tcPr>
            <w:tcW w:type="dxa" w:w="3041"/>
          </w:tcPr>
          <w:p>
            <w:r>
              <w:rPr>
                <w:rFonts w:ascii="Times New Roman" w:hAnsi="Times New Roman"/>
                <w:b/>
                <w:sz w:val="21"/>
              </w:rPr>
              <w:t>3 — Autonomie</w:t>
            </w:r>
          </w:p>
        </w:tc>
        <w:tc>
          <w:tcPr>
            <w:tcW w:type="dxa" w:w="3041"/>
          </w:tcPr>
          <w:p>
            <w:r>
              <w:rPr>
                <w:rFonts w:ascii="Times New Roman" w:hAnsi="Times New Roman"/>
                <w:sz w:val="21"/>
              </w:rPr>
              <w:t>Maîtrise avancée</w:t>
            </w:r>
          </w:p>
        </w:tc>
        <w:tc>
          <w:tcPr>
            <w:tcW w:type="dxa" w:w="3041"/>
          </w:tcPr>
          <w:p>
            <w:r>
              <w:rPr>
                <w:rFonts w:ascii="Times New Roman" w:hAnsi="Times New Roman"/>
                <w:sz w:val="21"/>
              </w:rPr>
              <w:t>Capacité à travailler de manière indépendante, à résoudre des problèmes et à s'adapter à des situations nouvelles.</w:t>
            </w:r>
          </w:p>
        </w:tc>
      </w:tr>
      <w:tr>
        <w:tc>
          <w:tcPr>
            <w:tcW w:type="dxa" w:w="3041"/>
            <w:shd w:val="clear" w:color="auto" w:fill="EAF1F8"/>
          </w:tcPr>
          <w:p>
            <w:r>
              <w:rPr>
                <w:rFonts w:ascii="Times New Roman" w:hAnsi="Times New Roman"/>
                <w:b/>
                <w:sz w:val="21"/>
              </w:rPr>
              <w:t>4 — Expertise</w:t>
            </w:r>
          </w:p>
        </w:tc>
        <w:tc>
          <w:tcPr>
            <w:tcW w:type="dxa" w:w="3041"/>
            <w:shd w:val="clear" w:color="auto" w:fill="EAF1F8"/>
          </w:tcPr>
          <w:p>
            <w:r>
              <w:rPr>
                <w:rFonts w:ascii="Times New Roman" w:hAnsi="Times New Roman"/>
                <w:sz w:val="21"/>
              </w:rPr>
              <w:t>Leadership</w:t>
            </w:r>
          </w:p>
        </w:tc>
        <w:tc>
          <w:tcPr>
            <w:tcW w:type="dxa" w:w="3041"/>
            <w:shd w:val="clear" w:color="auto" w:fill="EAF1F8"/>
          </w:tcPr>
          <w:p>
            <w:r>
              <w:rPr>
                <w:rFonts w:ascii="Times New Roman" w:hAnsi="Times New Roman"/>
                <w:sz w:val="21"/>
              </w:rPr>
              <w:t>Capacité à enseigner, à guider, à innover et à optimiser les processus dans le domaine.</w:t>
            </w:r>
          </w:p>
        </w:tc>
      </w:tr>
    </w:tbl>
    <w:p>
      <w:pPr>
        <w:spacing w:after="120"/>
        <w:ind w:firstLine="567"/>
        <w:jc w:val="both"/>
      </w:pPr>
      <w:r>
        <w:rPr>
          <w:rFonts w:ascii="Times New Roman" w:hAnsi="Times New Roman"/>
          <w:sz w:val="24"/>
        </w:rPr>
        <w:t>Le choix d'une échelle à quatre niveaux repose sur un compromis entre précision analytique et simplicité d'usage. Une granularité trop faible ne permettrait pas d'identifier correctement les écarts de compétences ; un nombre trop élevé de niveaux augmenterait la subjectivité des évaluations réalisées par les utilisateurs et les gestionnaires RH. Cette échelle est directement implémentée dans le modèle de données de RecruitPRO : le champ « niveau » (1 à 4) porté par les compétences des candidats et des employés en est la traduction exacte. Il ne s'agit donc pas d'un choix arbitraire, mais de l'opérationnalisation d'un standard de l'ingénierie des compétences dans un schéma de base de données.</w:t>
      </w:r>
    </w:p>
    <w:p>
      <w:pPr>
        <w:pStyle w:val="Heading3"/>
      </w:pPr>
      <w:r>
        <w:rPr>
          <w:rFonts w:ascii="Times New Roman" w:hAnsi="Times New Roman"/>
          <w:b/>
          <w:sz w:val="24"/>
        </w:rPr>
        <w:t>2.1.5 Du concept théorique au modèle opérationnel retenu</w:t>
      </w:r>
    </w:p>
    <w:p>
      <w:pPr>
        <w:spacing w:after="120"/>
        <w:ind w:firstLine="567"/>
        <w:jc w:val="both"/>
      </w:pPr>
      <w:r>
        <w:rPr>
          <w:rFonts w:ascii="Times New Roman" w:hAnsi="Times New Roman"/>
          <w:sz w:val="24"/>
        </w:rPr>
        <w:t>Les approches de Le Boterf, Zarifian et Spencer montrent que la compétence est un phénomène complexe, qui ne peut être entièrement réduit à une mesure quantitative. Une compétence réelle ne s'observe qu'en situation de travail, à travers des comportements, des résultats ou des mises en situation professionnelles.</w:t>
      </w:r>
    </w:p>
    <w:p>
      <w:pPr>
        <w:spacing w:after="120"/>
        <w:ind w:firstLine="567"/>
        <w:jc w:val="both"/>
      </w:pPr>
      <w:r>
        <w:rPr>
          <w:rFonts w:ascii="Times New Roman" w:hAnsi="Times New Roman"/>
          <w:sz w:val="24"/>
        </w:rPr>
        <w:t>Or la finalité de RecruitPRO n'est pas d'évaluer directement la compétence réelle des individus, mais de fournir un outil d'aide à la décision pour le recrutement, la mobilité interne et l'identification des besoins de formation. Une modélisation simplifiée est donc nécessaire pour rendre possibles le calcul des écarts et l'automatisation du matching entre profils et postes. Dans ce projet, nous adoptons une définition opérationnelle de la compétence fondée sur trois attributs :</w:t>
      </w:r>
    </w:p>
    <w:p>
      <w:pPr>
        <w:pStyle w:val="ListBullet"/>
        <w:ind w:left="567"/>
        <w:jc w:val="both"/>
      </w:pPr>
      <w:r>
        <w:rPr>
          <w:rFonts w:ascii="Times New Roman" w:hAnsi="Times New Roman"/>
          <w:b/>
          <w:sz w:val="24"/>
        </w:rPr>
        <w:t>le domaine de compétence</w:t>
      </w:r>
      <w:r>
        <w:rPr>
          <w:rFonts w:ascii="Times New Roman" w:hAnsi="Times New Roman"/>
          <w:sz w:val="24"/>
        </w:rPr>
        <w:t xml:space="preserve"> (par exemple « Gestion de projet », « Maintenance électromécanique », « Conduite ferroviaire ») ;</w:t>
      </w:r>
    </w:p>
    <w:p>
      <w:pPr>
        <w:pStyle w:val="ListBullet"/>
        <w:ind w:left="567"/>
        <w:jc w:val="both"/>
      </w:pPr>
      <w:r>
        <w:rPr>
          <w:rFonts w:ascii="Times New Roman" w:hAnsi="Times New Roman"/>
          <w:b/>
          <w:sz w:val="24"/>
        </w:rPr>
        <w:t>le niveau de maîtrise</w:t>
      </w:r>
      <w:r>
        <w:rPr>
          <w:rFonts w:ascii="Times New Roman" w:hAnsi="Times New Roman"/>
          <w:sz w:val="24"/>
        </w:rPr>
        <w:t xml:space="preserve"> sur l'échelle à quatre niveaux décrite plus haut ;</w:t>
      </w:r>
    </w:p>
    <w:p>
      <w:pPr>
        <w:pStyle w:val="ListBullet"/>
        <w:ind w:left="567"/>
        <w:jc w:val="both"/>
      </w:pPr>
      <w:r>
        <w:rPr>
          <w:rFonts w:ascii="Times New Roman" w:hAnsi="Times New Roman"/>
          <w:b/>
          <w:sz w:val="24"/>
        </w:rPr>
        <w:t>le nombre d'années d'expérience</w:t>
      </w:r>
      <w:r>
        <w:rPr>
          <w:rFonts w:ascii="Times New Roman" w:hAnsi="Times New Roman"/>
          <w:sz w:val="24"/>
        </w:rPr>
        <w:t>, qui mesure l'ancienneté dans l'exercice de cette compétence.</w:t>
      </w:r>
    </w:p>
    <w:p>
      <w:pPr>
        <w:spacing w:after="120"/>
        <w:ind w:firstLine="567"/>
        <w:jc w:val="both"/>
      </w:pPr>
      <w:r>
        <w:rPr>
          <w:rFonts w:ascii="Times New Roman" w:hAnsi="Times New Roman"/>
          <w:sz w:val="24"/>
        </w:rPr>
        <w:t>Cette modélisation, inspirée des référentiels de compétences professionnelles (ROME, ESCO), permet une comparaison quantifiée entre les profils et les exigences des postes. Il convient toutefois de souligner sans ambiguïté que les informations exploitées par la plateforme reposent principalement sur des compétences déclarées — par les utilisateurs eux-mêmes ou par les gestionnaires RH. Les résultats produits constituent donc une aide à la décision, et non une mesure absolue de la compétence réelle. Une évaluation exhaustive nécessiterait des dispositifs complémentaires : entretiens professionnels, mises en situation ou évaluations hiérarchiques. Cette transparence sur les limites du modèle est, en elle-même, une exigence d'ingénierie : un système d'aide à la décision n'est crédible que s'il énonce le périmètre exact de ce qu'il calcule.</w:t>
      </w:r>
    </w:p>
    <w:p>
      <w:pPr>
        <w:pStyle w:val="Heading2"/>
      </w:pPr>
      <w:r>
        <w:rPr>
          <w:rFonts w:ascii="Times New Roman" w:hAnsi="Times New Roman"/>
          <w:color w:val="2E74B5"/>
          <w:sz w:val="28"/>
        </w:rPr>
        <w:t>2.2 De la gestion à l'ingénierie des compétences</w:t>
      </w:r>
    </w:p>
    <w:p>
      <w:pPr>
        <w:spacing w:after="120"/>
        <w:ind w:firstLine="567"/>
        <w:jc w:val="both"/>
      </w:pPr>
      <w:r>
        <w:rPr>
          <w:rFonts w:ascii="Times New Roman" w:hAnsi="Times New Roman"/>
          <w:sz w:val="24"/>
        </w:rPr>
        <w:t>Disposer d'un modèle de la compétence ne suffit pas : encore faut-il un cadre méthodologique pour piloter les compétences à l'échelle de l'organisation. Ce cadre est historiquement celui de la Gestion Prévisionnelle des Emplois et des Compétences (GPEC). Nous montrons ici comment cette démarche, d'abord pensée comme un outil de pilotage RH, appelle aujourd'hui une véritable ingénierie — c'est-à-dire la conception de systèmes qui la rendent opérationnelle et durable.</w:t>
      </w:r>
    </w:p>
    <w:p>
      <w:pPr>
        <w:pStyle w:val="Heading3"/>
      </w:pPr>
      <w:r>
        <w:rPr>
          <w:rFonts w:ascii="Times New Roman" w:hAnsi="Times New Roman"/>
          <w:b/>
          <w:sz w:val="24"/>
        </w:rPr>
        <w:t>2.2.1 La GPEC comme démarche d'anticipation</w:t>
      </w:r>
    </w:p>
    <w:p>
      <w:pPr>
        <w:spacing w:after="120"/>
        <w:ind w:firstLine="567"/>
        <w:jc w:val="both"/>
      </w:pPr>
      <w:r>
        <w:rPr>
          <w:rFonts w:ascii="Times New Roman" w:hAnsi="Times New Roman"/>
          <w:sz w:val="24"/>
        </w:rPr>
        <w:t>La GPEC est une démarche d'anticipation visant à assurer l'adéquation entre les compétences disponibles dans une organisation et celles nécessaires à la réalisation de ses objectifs futurs. Elle s'inscrit dans une logique d'amélioration continue du capital humain et se déploie en quatre temps complémentaires :</w:t>
      </w:r>
    </w:p>
    <w:p>
      <w:pPr>
        <w:pStyle w:val="ListBullet"/>
        <w:ind w:left="567"/>
        <w:jc w:val="both"/>
      </w:pPr>
      <w:r>
        <w:rPr>
          <w:rFonts w:ascii="Times New Roman" w:hAnsi="Times New Roman"/>
          <w:b/>
          <w:sz w:val="24"/>
        </w:rPr>
        <w:t>L'état des lieux</w:t>
      </w:r>
      <w:r>
        <w:rPr>
          <w:rFonts w:ascii="Times New Roman" w:hAnsi="Times New Roman"/>
          <w:sz w:val="24"/>
        </w:rPr>
        <w:t xml:space="preserve"> : cartographie quantitative (effectifs, ancienneté, répartition des postes) et qualitative (niveaux détenus) des emplois et des compétences existants.</w:t>
      </w:r>
    </w:p>
    <w:p>
      <w:pPr>
        <w:pStyle w:val="ListBullet"/>
        <w:ind w:left="567"/>
        <w:jc w:val="both"/>
      </w:pPr>
      <w:r>
        <w:rPr>
          <w:rFonts w:ascii="Times New Roman" w:hAnsi="Times New Roman"/>
          <w:b/>
          <w:sz w:val="24"/>
        </w:rPr>
        <w:t>La projection</w:t>
      </w:r>
      <w:r>
        <w:rPr>
          <w:rFonts w:ascii="Times New Roman" w:hAnsi="Times New Roman"/>
          <w:sz w:val="24"/>
        </w:rPr>
        <w:t xml:space="preserve"> : identification des besoins futurs en tenant compte des évolutions stratégiques, organisationnelles et technologiques — apparition de nouveaux métiers, transformations induites par la digitalisation.</w:t>
      </w:r>
    </w:p>
    <w:p>
      <w:pPr>
        <w:pStyle w:val="ListBullet"/>
        <w:ind w:left="567"/>
        <w:jc w:val="both"/>
      </w:pPr>
      <w:r>
        <w:rPr>
          <w:rFonts w:ascii="Times New Roman" w:hAnsi="Times New Roman"/>
          <w:b/>
          <w:sz w:val="24"/>
        </w:rPr>
        <w:t>L'analyse des écarts (« gap analysis »)</w:t>
      </w:r>
      <w:r>
        <w:rPr>
          <w:rFonts w:ascii="Times New Roman" w:hAnsi="Times New Roman"/>
          <w:sz w:val="24"/>
        </w:rPr>
        <w:t xml:space="preserve"> : comparaison entre la situation actuelle et la cible pour repérer les compétences critiques à développer, les métiers en tension et les opportunités de mobilité ou de reconversion.</w:t>
      </w:r>
    </w:p>
    <w:p>
      <w:pPr>
        <w:pStyle w:val="ListBullet"/>
        <w:ind w:left="567"/>
        <w:jc w:val="both"/>
      </w:pPr>
      <w:r>
        <w:rPr>
          <w:rFonts w:ascii="Times New Roman" w:hAnsi="Times New Roman"/>
          <w:b/>
          <w:sz w:val="24"/>
        </w:rPr>
        <w:t>Le plan d'action</w:t>
      </w:r>
      <w:r>
        <w:rPr>
          <w:rFonts w:ascii="Times New Roman" w:hAnsi="Times New Roman"/>
          <w:sz w:val="24"/>
        </w:rPr>
        <w:t xml:space="preserve"> : mise en œuvre des mesures correctives — formation, mobilité interne, gestion des talents, recrutement externe — puis suivi de leur efficacité.</w:t>
      </w:r>
    </w:p>
    <w:p>
      <w:pPr>
        <w:spacing w:after="120"/>
        <w:ind w:firstLine="567"/>
        <w:jc w:val="both"/>
      </w:pPr>
      <w:r>
        <w:rPr>
          <w:rFonts w:ascii="Times New Roman" w:hAnsi="Times New Roman"/>
          <w:sz w:val="24"/>
        </w:rPr>
        <w:t>Ces quatre temps correspondent terme à terme aux quatre modules fonctionnels de RecruitPRO : l'état des lieux est assuré par la gestion des profils candidats et employés ; la projection par la définition des postes et de leurs exigences ; l'analyse des écarts par le moteur de matching ; et le plan d'action par l'articulation entre mobilité interne et formations du LMS. Dans le cas de l'ONCF, la GPEC représente un levier stratégique pour anticiper l'évolution des métiers ferroviaires, accompagner la mobilité interne et développer les compétences nécessaires à la transformation numérique de l'organisation. Il importe de préciser qu'elle est mobilisée ici comme cadre méthodologique, et non comme obligation réglementaire.</w:t>
      </w:r>
    </w:p>
    <w:p>
      <w:pPr>
        <w:pStyle w:val="Heading3"/>
      </w:pPr>
      <w:r>
        <w:rPr>
          <w:rFonts w:ascii="Times New Roman" w:hAnsi="Times New Roman"/>
          <w:b/>
          <w:sz w:val="24"/>
        </w:rPr>
        <w:t>2.2.2 L'analyse des écarts de compétences (skill gap analysis)</w:t>
      </w:r>
    </w:p>
    <w:p>
      <w:pPr>
        <w:spacing w:after="120"/>
        <w:ind w:firstLine="567"/>
        <w:jc w:val="both"/>
      </w:pPr>
      <w:r>
        <w:rPr>
          <w:rFonts w:ascii="Times New Roman" w:hAnsi="Times New Roman"/>
          <w:sz w:val="24"/>
        </w:rPr>
        <w:t>L'analyse des écarts constitue le mécanisme central de la GPEC. Elle consiste à comparer les compétences détenues par les collaborateurs avec celles requises pour exercer un emploi donné, afin d'identifier l'écart entre la situation actuelle et la situation cible, puis de mettre en œuvre les actions correctives adaptées. Les écarts observés peuvent concerner aussi bien des compétences techniques que comportementales ou managériales ; leur analyse permet de prioriser les actions de développement, de mobilité ou de recrutement.</w:t>
      </w:r>
    </w:p>
    <w:p>
      <w:pPr>
        <w:spacing w:after="120"/>
        <w:ind w:firstLine="567"/>
        <w:jc w:val="both"/>
      </w:pPr>
      <w:r>
        <w:rPr>
          <w:rFonts w:ascii="Times New Roman" w:hAnsi="Times New Roman"/>
          <w:sz w:val="24"/>
        </w:rPr>
        <w:t>Les niveaux de compétence exploités peuvent provenir de plusieurs sources : auto-évaluations, évaluations hiérarchiques, entretiens professionnels, bilans de compétences ou mises en situation. Les dispositifs les plus robustes combinent plusieurs sources afin de limiter les biais. Comme souligné précédemment, les résultats d'une analyse des écarts doivent être interprétés comme une aide à la décision plutôt que comme une représentation parfaitement fidèle du niveau réel.</w:t>
      </w:r>
    </w:p>
    <w:p>
      <w:pPr>
        <w:spacing w:after="120"/>
        <w:ind w:firstLine="567"/>
        <w:jc w:val="both"/>
      </w:pPr>
      <w:r>
        <w:rPr>
          <w:rFonts w:ascii="Times New Roman" w:hAnsi="Times New Roman"/>
          <w:sz w:val="24"/>
        </w:rPr>
        <w:t>Dans RecruitPRO, cette analyse est automatisée et rendue instantanée. Pour chaque couple (profil, poste), chaque compétence requise — associée à un niveau attendu — est confrontée au niveau déclaré dans le profil. Les écarts sont ensuite agrégés pour produire un score de correspondance exploité par le moteur de matching, facilitant les décisions de recrutement, de mobilité et d'orientation vers la formation.</w:t>
      </w:r>
    </w:p>
    <w:p>
      <w:pPr>
        <w:pStyle w:val="Heading3"/>
      </w:pPr>
      <w:r>
        <w:rPr>
          <w:rFonts w:ascii="Times New Roman" w:hAnsi="Times New Roman"/>
          <w:b/>
          <w:sz w:val="24"/>
        </w:rPr>
        <w:t>2.2.3 Le référentiel des métiers et des compétences</w:t>
      </w:r>
    </w:p>
    <w:p>
      <w:pPr>
        <w:spacing w:after="120"/>
        <w:ind w:firstLine="567"/>
        <w:jc w:val="both"/>
      </w:pPr>
      <w:r>
        <w:rPr>
          <w:rFonts w:ascii="Times New Roman" w:hAnsi="Times New Roman"/>
          <w:sz w:val="24"/>
        </w:rPr>
        <w:t>Un référentiel des métiers et des compétences recense les métiers d'une organisation, décrit leurs missions et identifie les compétences nécessaires à leur exercice. Il constitue la colonne vertébrale de toute démarche d'ingénierie des compétences : il supporte la cartographie des compétences et établit un langage commun entre les acteurs RH, les responsables opérationnels et les dispositifs de formation. Sans référentiel partagé, il n'est pas possible de comparer des profils, d'identifier des écarts ou de recommander des parcours.</w:t>
      </w:r>
    </w:p>
    <w:p>
      <w:pPr>
        <w:spacing w:after="120"/>
        <w:ind w:firstLine="567"/>
        <w:jc w:val="both"/>
      </w:pPr>
      <w:r>
        <w:rPr>
          <w:rFonts w:ascii="Times New Roman" w:hAnsi="Times New Roman"/>
          <w:sz w:val="24"/>
        </w:rPr>
        <w:t>Dans RecruitPRO, ce référentiel est implémenté à deux niveaux complémentaires. Le premier est interne à l'organisation : un référentiel de compétences partagé entre tous les acteurs (candidats, employés, recruteurs). Le second est externe et normalisé : le ROME de France Travail — et, en arrière-plan conceptuel, le référentiel européen ESCO — fournit une taxonomie métier de référence permettant d'ancrer les compétences dans une nomenclature professionnelle reconnue et d'établir des proximités entre métiers fondées sur des données réelles.</w:t>
      </w:r>
    </w:p>
    <w:p>
      <w:pPr>
        <w:pStyle w:val="Heading3"/>
      </w:pPr>
      <w:r>
        <w:rPr>
          <w:rFonts w:ascii="Times New Roman" w:hAnsi="Times New Roman"/>
          <w:b/>
          <w:sz w:val="24"/>
        </w:rPr>
        <w:t>2.2.4 De la gestion à l'ingénierie : un changement de focale</w:t>
      </w:r>
    </w:p>
    <w:p>
      <w:pPr>
        <w:spacing w:after="120"/>
        <w:ind w:firstLine="567"/>
        <w:jc w:val="both"/>
      </w:pPr>
      <w:r>
        <w:rPr>
          <w:rFonts w:ascii="Times New Roman" w:hAnsi="Times New Roman"/>
          <w:sz w:val="24"/>
        </w:rPr>
        <w:t>La GPEC a longtemps été pratiquée comme un exercice périodique de pilotage RH : on cartographie, on projette, on planifie, puis on recommence l'année suivante. Ce mode de fonctionnement souffre d'un défaut structurel. Les référentiels de compétences, une fois construits lors de projets ponctuels et coûteux, photographient un état des compétences à un instant T et se périment rapidement, au fil des évolutions technologiques, des départs, des formations suivies et des nouvelles recrues intégrées.</w:t>
      </w:r>
    </w:p>
    <w:p>
      <w:pPr>
        <w:spacing w:after="120"/>
        <w:ind w:firstLine="567"/>
        <w:jc w:val="both"/>
      </w:pPr>
      <w:r>
        <w:rPr>
          <w:rFonts w:ascii="Times New Roman" w:hAnsi="Times New Roman"/>
          <w:sz w:val="24"/>
        </w:rPr>
        <w:t>Passer de la gestion à l'ingénierie des compétences, c'est précisément déplacer la focale : il ne s'agit plus seulement de conduire la démarche, mais de concevoir le système qui la rend opérationnelle et continue. L'ingénierie des compétences se situe ainsi au croisement de la formation, du développement professionnel et des systèmes d'information ; elle interroge la manière dont un dispositif numérique peut maintenir, dans la durée, la cohérence d'un référentiel sans le figer. C'est cette interrogation qui conduit à la notion centrale de ce travail.</w:t>
      </w:r>
    </w:p>
    <w:p>
      <w:pPr>
        <w:pStyle w:val="Heading2"/>
      </w:pPr>
      <w:r>
        <w:rPr>
          <w:rFonts w:ascii="Times New Roman" w:hAnsi="Times New Roman"/>
          <w:color w:val="2E74B5"/>
          <w:sz w:val="28"/>
        </w:rPr>
        <w:t>2.3 Le référentiel vivant : la question centrale du projet</w:t>
      </w:r>
    </w:p>
    <w:p>
      <w:pPr>
        <w:pStyle w:val="Heading3"/>
      </w:pPr>
      <w:r>
        <w:rPr>
          <w:rFonts w:ascii="Times New Roman" w:hAnsi="Times New Roman"/>
          <w:b/>
          <w:sz w:val="24"/>
        </w:rPr>
        <w:t>2.3.1 La péremption des référentiels classiques</w:t>
      </w:r>
    </w:p>
    <w:p>
      <w:pPr>
        <w:spacing w:after="120"/>
        <w:ind w:firstLine="567"/>
        <w:jc w:val="both"/>
      </w:pPr>
      <w:r>
        <w:rPr>
          <w:rFonts w:ascii="Times New Roman" w:hAnsi="Times New Roman"/>
          <w:sz w:val="24"/>
        </w:rPr>
        <w:t>Le problème posé en clôture de la section précédente mérite d'être nommé avec précision. Un référentiel de compétences classique est un artefact statique : il décrit ce qui était vrai au moment de sa construction. Chaque événement du cycle de vie professionnel — une formation complétée, une nouvelle compétence acquise, une mobilité réalisée, un recrutement — éloigne le référentiel de la réalité qu'il est censé représenter. Le maintenir à jour manuellement est coûteux, donc rarement fait ; et un référentiel obsolète produit des décisions erronées, ce qui ruine la confiance dans la démarche elle-même.</w:t>
      </w:r>
    </w:p>
    <w:p>
      <w:pPr>
        <w:pStyle w:val="Heading3"/>
      </w:pPr>
      <w:r>
        <w:rPr>
          <w:rFonts w:ascii="Times New Roman" w:hAnsi="Times New Roman"/>
          <w:b/>
          <w:sz w:val="24"/>
        </w:rPr>
        <w:t>2.3.2 Le concept de référentiel vivant</w:t>
      </w:r>
    </w:p>
    <w:p>
      <w:pPr>
        <w:spacing w:after="120"/>
        <w:ind w:firstLine="567"/>
        <w:jc w:val="both"/>
      </w:pPr>
      <w:r>
        <w:rPr>
          <w:rFonts w:ascii="Times New Roman" w:hAnsi="Times New Roman"/>
          <w:sz w:val="24"/>
        </w:rPr>
        <w:t>La transformation numérique offre une réponse à ce problème : celle du référentiel vivant. Un référentiel est dit vivant lorsqu'il se met à jour en continu, alimenté par les événements du cycle de vie professionnel de chaque individu, sans ressaisie ni campagne périodique. Les données de compétences ne sont plus saisies une fois pour toutes, mais continuellement enrichies par les interactions de chaque acteur avec le système. C'est cette idée qui constitue le cœur intellectuel de RecruitPRO et qui fonde sa question directrice.</w:t>
      </w:r>
    </w:p>
    <w:p>
      <w:pPr>
        <w:spacing w:before="160" w:after="160"/>
        <w:ind w:left="680" w:right="680"/>
        <w:jc w:val="both"/>
        <w:pBdr>
          <w:left w:val="single" w:sz="18" w:space="12" w:color="1F497D"/>
        </w:pBdr>
      </w:pPr>
      <w:r>
        <w:rPr>
          <w:rFonts w:ascii="Times New Roman" w:hAnsi="Times New Roman"/>
          <w:b/>
          <w:color w:val="1F497D"/>
          <w:sz w:val="22"/>
        </w:rPr>
        <w:t xml:space="preserve">Question de recherche — </w:t>
      </w:r>
      <w:r>
        <w:rPr>
          <w:rFonts w:ascii="Times New Roman" w:hAnsi="Times New Roman"/>
          <w:i/>
          <w:sz w:val="22"/>
        </w:rPr>
        <w:t>Comment un système numérique peut-il rendre opérationnel un référentiel de compétences vivant, c'est-à-dire un référentiel qui s'auto-met à jour au fil des apprentissages, des mobilités et des recrutements de chaque individu, tout en maintenant la cohérence de l'ensemble ?</w:t>
      </w:r>
    </w:p>
    <w:p>
      <w:pPr>
        <w:spacing w:after="120"/>
        <w:ind w:firstLine="567"/>
        <w:jc w:val="both"/>
      </w:pPr>
      <w:r>
        <w:rPr>
          <w:rFonts w:ascii="Times New Roman" w:hAnsi="Times New Roman"/>
          <w:sz w:val="24"/>
        </w:rPr>
        <w:t>Cette question dépasse la simple digitalisation des processus RH. Elle touche à un enjeu d'ingénierie des systèmes d'information : concevoir une architecture où la donnée de compétence circule librement entre le recrutement, l'emploi et la formation, et où chaque interaction d'un acteur enrichit le référentiel commun. Elle structure l'ensemble du présent mémoire et sert de critère d'évaluation, dans la suite de ce chapitre, des solutions existantes.</w:t>
      </w:r>
    </w:p>
    <w:p>
      <w:pPr>
        <w:pStyle w:val="Heading3"/>
      </w:pPr>
      <w:r>
        <w:rPr>
          <w:rFonts w:ascii="Times New Roman" w:hAnsi="Times New Roman"/>
          <w:b/>
          <w:sz w:val="24"/>
        </w:rPr>
        <w:t>2.3.3 Les trois mécanismes d'auto-mise à jour</w:t>
      </w:r>
    </w:p>
    <w:p>
      <w:pPr>
        <w:spacing w:after="120"/>
        <w:ind w:firstLine="567"/>
        <w:jc w:val="both"/>
      </w:pPr>
      <w:r>
        <w:rPr>
          <w:rFonts w:ascii="Times New Roman" w:hAnsi="Times New Roman"/>
          <w:sz w:val="24"/>
        </w:rPr>
        <w:t>RecruitPRO répond à cette question par trois mécanismes techniques articulés, qui transforment trois moments du cycle de vie professionnel en autant de sources d'enrichissement du référentiel :</w:t>
      </w:r>
    </w:p>
    <w:p>
      <w:pPr>
        <w:pStyle w:val="ListBullet"/>
        <w:ind w:left="567"/>
        <w:jc w:val="both"/>
      </w:pPr>
      <w:r>
        <w:rPr>
          <w:rFonts w:ascii="Times New Roman" w:hAnsi="Times New Roman"/>
          <w:b/>
          <w:sz w:val="24"/>
        </w:rPr>
        <w:t>La synchronisation formation → profil</w:t>
      </w:r>
      <w:r>
        <w:rPr>
          <w:rFonts w:ascii="Times New Roman" w:hAnsi="Times New Roman"/>
          <w:sz w:val="24"/>
        </w:rPr>
        <w:t xml:space="preserve"> : lorsqu'un candidat ou un employé complète une formation dans le LMS, le niveau de la compétence correspondante est automatiquement relevé dans son profil, sans intervention humaine (le niveau n'est jamais abaissé). La formation enrichit ainsi directement le référentiel.</w:t>
      </w:r>
    </w:p>
    <w:p>
      <w:pPr>
        <w:pStyle w:val="ListBullet"/>
        <w:ind w:left="567"/>
        <w:jc w:val="both"/>
      </w:pPr>
      <w:r>
        <w:rPr>
          <w:rFonts w:ascii="Times New Roman" w:hAnsi="Times New Roman"/>
          <w:b/>
          <w:sz w:val="24"/>
        </w:rPr>
        <w:t>La portabilité candidat → employé</w:t>
      </w:r>
      <w:r>
        <w:rPr>
          <w:rFonts w:ascii="Times New Roman" w:hAnsi="Times New Roman"/>
          <w:sz w:val="24"/>
        </w:rPr>
        <w:t xml:space="preserve"> : lorsqu'un candidat est recruté, l'intégralité de son profil (compétences, formations, certifications, expérience) est transférée vers son profil employé, garantissant la continuité du référentiel entre les statuts de candidat et de collaborateur — là où la plupart des systèmes perdent l'information.</w:t>
      </w:r>
    </w:p>
    <w:p>
      <w:pPr>
        <w:pStyle w:val="ListBullet"/>
        <w:ind w:left="567"/>
        <w:jc w:val="both"/>
      </w:pPr>
      <w:r>
        <w:rPr>
          <w:rFonts w:ascii="Times New Roman" w:hAnsi="Times New Roman"/>
          <w:b/>
          <w:sz w:val="24"/>
        </w:rPr>
        <w:t>L'analyse de profil et les suggestions d'évolution</w:t>
      </w:r>
      <w:r>
        <w:rPr>
          <w:rFonts w:ascii="Times New Roman" w:hAnsi="Times New Roman"/>
          <w:sz w:val="24"/>
        </w:rPr>
        <w:t xml:space="preserve"> : après avoir construit librement son profil, l'individu reçoit une analyse de ses domaines de compétences et des suggestions d'évolution établies à partir des profils-types de son secteur. Le référentiel cesse d'être un simple inventaire pour devenir un outil de conseil personnalisé — le système suggère, l'individu décide.</w:t>
      </w:r>
    </w:p>
    <w:p>
      <w:pPr>
        <w:spacing w:after="120"/>
        <w:ind w:firstLine="567"/>
        <w:jc w:val="both"/>
      </w:pPr>
      <w:r>
        <w:rPr>
          <w:rFonts w:ascii="Times New Roman" w:hAnsi="Times New Roman"/>
          <w:sz w:val="24"/>
        </w:rPr>
        <w:t>Ces trois mécanismes forment un cycle qui se renforce de lui-même : la formation met à jour le profil, le profil alimente le matching, le matching oriente vers de nouvelles formations et mobilités. C'est cette boucle, et non la juxtaposition d'un ATS et d'un LMS, qui constitue la contribution originale du projet.</w:t>
      </w:r>
    </w:p>
    <w:p>
      <w:pPr>
        <w:pStyle w:val="Heading2"/>
      </w:pPr>
      <w:r>
        <w:rPr>
          <w:rFonts w:ascii="Times New Roman" w:hAnsi="Times New Roman"/>
          <w:color w:val="2E74B5"/>
          <w:sz w:val="28"/>
        </w:rPr>
        <w:t>2.4 Étude de l'existant : des opérationnalisations partielles du cycle</w:t>
      </w:r>
    </w:p>
    <w:p>
      <w:pPr>
        <w:spacing w:after="120"/>
        <w:ind w:firstLine="567"/>
        <w:jc w:val="both"/>
      </w:pPr>
      <w:r>
        <w:rPr>
          <w:rFonts w:ascii="Times New Roman" w:hAnsi="Times New Roman"/>
          <w:sz w:val="24"/>
        </w:rPr>
        <w:t>À l'aune de la question posée, examinons à présent les systèmes numériques existants. Le constat est celui d'une fragmentation : chaque catégorie d'outil opérationnalise un fragment du cycle d'ingénierie des compétences, sans jamais l'articuler avec les autres ni assurer la mise à jour continue du référentiel.</w:t>
      </w:r>
    </w:p>
    <w:p>
      <w:pPr>
        <w:pStyle w:val="Heading3"/>
      </w:pPr>
      <w:r>
        <w:rPr>
          <w:rFonts w:ascii="Times New Roman" w:hAnsi="Times New Roman"/>
          <w:b/>
          <w:sz w:val="24"/>
        </w:rPr>
        <w:t>2.4.1 Les ATS (Applicant Tracking Systems)</w:t>
      </w:r>
    </w:p>
    <w:p>
      <w:pPr>
        <w:spacing w:after="120"/>
        <w:ind w:firstLine="567"/>
        <w:jc w:val="both"/>
      </w:pPr>
      <w:r>
        <w:rPr>
          <w:rFonts w:ascii="Times New Roman" w:hAnsi="Times New Roman"/>
          <w:sz w:val="24"/>
        </w:rPr>
        <w:t>Un système de suivi des candidatures (ATS) gère le processus de recrutement, de la publication des offres à l'intégration du candidat retenu. Au-delà de l'automatisation administrative, un ATS moderne est un outil d'aide à la décision : gestion des offres, collecte et tri des candidatures, communication multicanale, planification des entretiens, évaluation collaborative et tableaux de bord analytiques. Les solutions de référence (Workday Recruiting, SAP SuccessFactors, Oracle Taleo, Greenhouse, Lever) offrent une couverture fonctionnelle étendue ; au Maroc et en Afrique du Nord, des outils comme Talentsoft, Cegid Talent ou SmartRecruiters sont fréquemment déployés.</w:t>
      </w:r>
    </w:p>
    <w:p>
      <w:pPr>
        <w:spacing w:after="120"/>
        <w:ind w:firstLine="567"/>
        <w:jc w:val="both"/>
      </w:pPr>
      <w:r>
        <w:rPr>
          <w:rFonts w:ascii="Times New Roman" w:hAnsi="Times New Roman"/>
          <w:sz w:val="24"/>
        </w:rPr>
        <w:t>Au regard de notre question, l'ATS présente toutefois une limite structurelle : il couvre l'identification des besoins et l'acquisition, mais s'arrête à la décision de recrutement. Une fois le candidat recruté, il sort du système — et avec lui, les données de profil collectées pendant le processus. Il n'y a pas de continuité vers l'emploi, la formation ou la mobilité interne. Le référentiel de compétences du candidat est abandonné au moment précis où il devient collaborateur. S'ajoutent, dans le contexte d'une organisation publique comme l'ONCF, le coût élevé des licences, la complexité d'implémentation et la faible flexibilité pour intégrer des référentiels métiers ferroviaires spécifiques.</w:t>
      </w:r>
    </w:p>
    <w:p>
      <w:pPr>
        <w:pStyle w:val="Heading3"/>
      </w:pPr>
      <w:r>
        <w:rPr>
          <w:rFonts w:ascii="Times New Roman" w:hAnsi="Times New Roman"/>
          <w:b/>
          <w:sz w:val="24"/>
        </w:rPr>
        <w:t>2.4.2 Les LMS (Learning Management Systems)</w:t>
      </w:r>
    </w:p>
    <w:p>
      <w:pPr>
        <w:spacing w:after="120"/>
        <w:ind w:firstLine="567"/>
        <w:jc w:val="both"/>
      </w:pPr>
      <w:r>
        <w:rPr>
          <w:rFonts w:ascii="Times New Roman" w:hAnsi="Times New Roman"/>
          <w:sz w:val="24"/>
        </w:rPr>
        <w:t>Un système de gestion de la formation (LMS) crée, diffuse et suit les parcours pédagogiques : catalogue de formations, inscription et suivi des apprenants, diffusion de contenus multimédias, quiz et évaluations, délivrance de certifications, tableaux de bord de progression. Parmi les solutions répandues figurent Moodle (très présent dans le contexte africain et l'enseignement supérieur), Cornerstone OnDemand, TalentLMS, 360Learning et Docebo.</w:t>
      </w:r>
    </w:p>
    <w:p>
      <w:pPr>
        <w:spacing w:after="120"/>
        <w:ind w:firstLine="567"/>
        <w:jc w:val="both"/>
      </w:pPr>
      <w:r>
        <w:rPr>
          <w:rFonts w:ascii="Times New Roman" w:hAnsi="Times New Roman"/>
          <w:sz w:val="24"/>
        </w:rPr>
        <w:t>Le LMS couvre un autre fragment du cycle — le développement des compétences — mais opère en silo. Il sait qu'un apprenant a complété un cours, mais cette information ne remonte pas automatiquement vers un profil partagé avec les autres fonctions RH. L'impact de la formation sur l'employabilité ou la mobilité reste invisible pour les équipes RH comme pour l'apprenant lui-même. C'est précisément cette rupture que la synchronisation formation → profil de RecruitPRO vient combler.</w:t>
      </w:r>
    </w:p>
    <w:p>
      <w:pPr>
        <w:pStyle w:val="Heading3"/>
      </w:pPr>
      <w:r>
        <w:rPr>
          <w:rFonts w:ascii="Times New Roman" w:hAnsi="Times New Roman"/>
          <w:b/>
          <w:sz w:val="24"/>
        </w:rPr>
        <w:t>2.4.3 Les SIRH intégrés</w:t>
      </w:r>
    </w:p>
    <w:p>
      <w:pPr>
        <w:spacing w:after="120"/>
        <w:ind w:firstLine="567"/>
        <w:jc w:val="both"/>
      </w:pPr>
      <w:r>
        <w:rPr>
          <w:rFonts w:ascii="Times New Roman" w:hAnsi="Times New Roman"/>
          <w:sz w:val="24"/>
        </w:rPr>
        <w:t>Face à la fragmentation historique des outils, le marché évolue vers des Systèmes Intégrés de gestion des Ressources Humaines (SIRH) — SAP SuccessFactors, Oracle HCM Cloud, Workday — qui proposent une vision unifiée couvrant recrutement, gestion des talents, formation, paie et administration. En apparence, ces suites répondent au problème de fragmentation.</w:t>
      </w:r>
    </w:p>
    <w:p>
      <w:pPr>
        <w:spacing w:after="120"/>
        <w:ind w:firstLine="567"/>
        <w:jc w:val="both"/>
      </w:pPr>
      <w:r>
        <w:rPr>
          <w:rFonts w:ascii="Times New Roman" w:hAnsi="Times New Roman"/>
          <w:sz w:val="24"/>
        </w:rPr>
        <w:t>En pratique, leur intégration reste souvent de surface : les modules sont connectés techniquement (authentification unique, base partagée), mais la logique de compétences ne circule pas librement entre eux — le profil du candidat dans le module de recrutement n'est pas le même objet que celui de l'employé dans le module de gestion des talents. Par ailleurs, ces suites sont conçues pour de grandes entreprises privées, avec des modèles de données génériques et des coûts de licence élevés, peu adaptés aux spécificités d'un organisme comme l'IFDC/ONCF, dont les métiers sont particuliers et le développement des compétences au cœur de la mission.</w:t>
      </w:r>
    </w:p>
    <w:p>
      <w:pPr>
        <w:pStyle w:val="Heading3"/>
      </w:pPr>
      <w:r>
        <w:rPr>
          <w:rFonts w:ascii="Times New Roman" w:hAnsi="Times New Roman"/>
          <w:b/>
          <w:sz w:val="24"/>
        </w:rPr>
        <w:t>2.4.4 Le matching algorithmique dans le recrutement</w:t>
      </w:r>
    </w:p>
    <w:p>
      <w:pPr>
        <w:spacing w:after="120"/>
        <w:ind w:firstLine="567"/>
        <w:jc w:val="both"/>
      </w:pPr>
      <w:r>
        <w:rPr>
          <w:rFonts w:ascii="Times New Roman" w:hAnsi="Times New Roman"/>
          <w:sz w:val="24"/>
        </w:rPr>
        <w:t>Le matching entre profils et postes est un problème classique de mise en correspondance, qui automatise l'analyse des écarts décrite en 2.2.2. Trois familles d'approches algorithmiques coexistent :</w:t>
      </w:r>
    </w:p>
    <w:p>
      <w:pPr>
        <w:pStyle w:val="ListBullet"/>
        <w:ind w:left="567"/>
        <w:jc w:val="both"/>
      </w:pPr>
      <w:r>
        <w:rPr>
          <w:rFonts w:ascii="Times New Roman" w:hAnsi="Times New Roman"/>
          <w:b/>
          <w:sz w:val="24"/>
        </w:rPr>
        <w:t>Les méthodes à base de règles (rule-based)</w:t>
      </w:r>
      <w:r>
        <w:rPr>
          <w:rFonts w:ascii="Times New Roman" w:hAnsi="Times New Roman"/>
          <w:sz w:val="24"/>
        </w:rPr>
        <w:t xml:space="preserve"> : règles métier explicites et pondérations définies par les experts RH. Transparentes et auditables, elles conviennent aux contextes où la traçabilité et la compréhension des résultats sont essentielles. C'est l'approche retenue dans RecruitPRO : elle permet aux équipes de l'IFDC de maîtriser et d'ajuster les critères en fonction des référentiels ferroviaires, et répond à l'exigence d'explicabilité d'une organisation publique.</w:t>
      </w:r>
    </w:p>
    <w:p>
      <w:pPr>
        <w:pStyle w:val="ListBullet"/>
        <w:ind w:left="567"/>
        <w:jc w:val="both"/>
      </w:pPr>
      <w:r>
        <w:rPr>
          <w:rFonts w:ascii="Times New Roman" w:hAnsi="Times New Roman"/>
          <w:b/>
          <w:sz w:val="24"/>
        </w:rPr>
        <w:t>Les méthodes fondées sur le traitement du langage naturel (NLP)</w:t>
      </w:r>
      <w:r>
        <w:rPr>
          <w:rFonts w:ascii="Times New Roman" w:hAnsi="Times New Roman"/>
          <w:sz w:val="24"/>
        </w:rPr>
        <w:t xml:space="preserve"> : analyse sémantique des CV et des offres en langage naturel pour extraire automatiquement les compétences et calculer des similarités (modèles de type BERT ou GPT). Puissantes sur de grands volumes de données non structurées, elles requièrent des corpus importants et souffrent d'un défaut de transparence (effet « boîte noire »). Elles constituent une perspective d'enrichissement futur de la plateforme.</w:t>
      </w:r>
    </w:p>
    <w:p>
      <w:pPr>
        <w:pStyle w:val="ListBullet"/>
        <w:ind w:left="567"/>
        <w:jc w:val="both"/>
      </w:pPr>
      <w:r>
        <w:rPr>
          <w:rFonts w:ascii="Times New Roman" w:hAnsi="Times New Roman"/>
          <w:b/>
          <w:sz w:val="24"/>
        </w:rPr>
        <w:t>Les méthodes hybrides</w:t>
      </w:r>
      <w:r>
        <w:rPr>
          <w:rFonts w:ascii="Times New Roman" w:hAnsi="Times New Roman"/>
          <w:sz w:val="24"/>
        </w:rPr>
        <w:t xml:space="preserve"> : elles combinent l'extraction NLP et les règles métier, et représentent l'état de l'art des ATS les plus avancés (LinkedIn Recruiter, Eightfold AI), au prix d'une complexité et d'un coût élevés.</w:t>
      </w:r>
    </w:p>
    <w:p>
      <w:pPr>
        <w:spacing w:after="120"/>
        <w:ind w:firstLine="567"/>
        <w:jc w:val="both"/>
      </w:pPr>
      <w:r>
        <w:rPr>
          <w:rFonts w:ascii="Times New Roman" w:hAnsi="Times New Roman"/>
          <w:sz w:val="24"/>
        </w:rPr>
        <w:t>Le moteur de RecruitPRO calcule, pour chaque couple (profil, poste), deux scores complémentaires qui prolongent directement le cadre théorique de la section 2.1. Le score de fit mesure l'adéquation entre les compétences actuelles et les exigences du poste — il répond à la question « ce candidat peut-il occuper ce poste aujourd'hui ? » et relève du savoir-agir. Le score de potentiel mesure la capacité du candidat à combler ses lacunes par la formation ou l'expérience — il répond à « ce candidat peut-il y parvenir avec du développement ? » et relève du savoir-évoluer.</w:t>
      </w:r>
    </w:p>
    <w:p>
      <w:pPr>
        <w:spacing w:after="120"/>
        <w:ind w:firstLine="567"/>
        <w:jc w:val="both"/>
      </w:pPr>
      <w:r>
        <w:rPr>
          <w:rFonts w:ascii="Times New Roman" w:hAnsi="Times New Roman"/>
          <w:sz w:val="24"/>
        </w:rPr>
        <w:t>Pour estimer ce potentiel, RecruitPRO s'appuie sur le Répertoire Opérationnel des Métiers et des Emplois (ROME) de France Travail, qui organise les métiers en domaines, familles et fiches. Sa structure hiérarchique permet de mesurer la proximité entre deux métiers : deux métiers d'un même sous-domaine sont proches, deux métiers d'un même domaine mais de sous-domaines différents sont moyennement proches, deux métiers de domaines distincts sont éloignés. Un candidat dont le métier actuel est proche du poste visé présente un potentiel d'adaptation élevé, même si ses compétences ne correspondent pas parfaitement aux exigences immédiates. Précisons une limite actuelle : le ROME est exploité pour sa structure taxonomique et son référentiel de compétences, mais ses tables de mobilités professionnelles — passerelles fondées sur des transitions réelles — ne sont pas encore mobilisées pour affiner le calcul du potentiel. C'est la principale piste d'amélioration du moteur.</w:t>
      </w:r>
    </w:p>
    <w:p>
      <w:pPr>
        <w:pStyle w:val="Heading3"/>
      </w:pPr>
      <w:r>
        <w:rPr>
          <w:rFonts w:ascii="Times New Roman" w:hAnsi="Times New Roman"/>
          <w:b/>
          <w:sz w:val="24"/>
        </w:rPr>
        <w:t>2.4.5 Étude comparative des solutions existantes</w:t>
      </w:r>
    </w:p>
    <w:p>
      <w:pPr>
        <w:spacing w:after="120"/>
        <w:ind w:firstLine="567"/>
        <w:jc w:val="both"/>
      </w:pPr>
      <w:r>
        <w:rPr>
          <w:rFonts w:ascii="Times New Roman" w:hAnsi="Times New Roman"/>
          <w:sz w:val="24"/>
        </w:rPr>
        <w:t>Pour positionner RecruitPRO, nous avons conduit une étude comparative sur les axes les plus déterminants au regard de notre question de recherche : couverture fonctionnelle, intégration native entre modules, capacité de mise à jour continue du référentiel, coût et personnalisation pour une organisation publique marocaine.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rFonts w:ascii="Times New Roman" w:hAnsi="Times New Roman"/>
                <w:b/>
                <w:color w:val="FFFFFF"/>
                <w:sz w:val="21"/>
              </w:rPr>
              <w:t>Critère</w:t>
            </w:r>
          </w:p>
        </w:tc>
        <w:tc>
          <w:tcPr>
            <w:tcW w:type="dxa" w:w="2280"/>
            <w:shd w:val="clear" w:color="auto" w:fill="1F497D"/>
          </w:tcPr>
          <w:p>
            <w:pPr>
              <w:jc w:val="center"/>
            </w:pPr>
            <w:r>
              <w:rPr>
                <w:rFonts w:ascii="Times New Roman" w:hAnsi="Times New Roman"/>
                <w:b/>
                <w:color w:val="FFFFFF"/>
                <w:sz w:val="21"/>
              </w:rPr>
              <w:t>SAP SuccessFactors</w:t>
            </w:r>
          </w:p>
        </w:tc>
        <w:tc>
          <w:tcPr>
            <w:tcW w:type="dxa" w:w="2280"/>
            <w:shd w:val="clear" w:color="auto" w:fill="1F497D"/>
          </w:tcPr>
          <w:p>
            <w:pPr>
              <w:jc w:val="center"/>
            </w:pPr>
            <w:r>
              <w:rPr>
                <w:rFonts w:ascii="Times New Roman" w:hAnsi="Times New Roman"/>
                <w:b/>
                <w:color w:val="FFFFFF"/>
                <w:sz w:val="21"/>
              </w:rPr>
              <w:t>Moodle + Talentsoft</w:t>
            </w:r>
          </w:p>
        </w:tc>
        <w:tc>
          <w:tcPr>
            <w:tcW w:type="dxa" w:w="2280"/>
            <w:shd w:val="clear" w:color="auto" w:fill="1F497D"/>
          </w:tcPr>
          <w:p>
            <w:pPr>
              <w:jc w:val="center"/>
            </w:pPr>
            <w:r>
              <w:rPr>
                <w:rFonts w:ascii="Times New Roman" w:hAnsi="Times New Roman"/>
                <w:b/>
                <w:color w:val="FFFFFF"/>
                <w:sz w:val="21"/>
              </w:rPr>
              <w:t>RecruitPRO</w:t>
            </w:r>
          </w:p>
        </w:tc>
      </w:tr>
      <w:tr>
        <w:tc>
          <w:tcPr>
            <w:tcW w:type="dxa" w:w="2280"/>
          </w:tcPr>
          <w:p>
            <w:r>
              <w:rPr>
                <w:rFonts w:ascii="Times New Roman" w:hAnsi="Times New Roman"/>
                <w:b/>
                <w:sz w:val="21"/>
              </w:rPr>
              <w:t>Recrutement (ATS)</w:t>
            </w:r>
          </w:p>
        </w:tc>
        <w:tc>
          <w:tcPr>
            <w:tcW w:type="dxa" w:w="2280"/>
          </w:tcPr>
          <w:p>
            <w:r>
              <w:rPr>
                <w:rFonts w:ascii="Times New Roman" w:hAnsi="Times New Roman"/>
                <w:sz w:val="21"/>
              </w:rPr>
              <w:t>Oui (complet)</w:t>
            </w:r>
          </w:p>
        </w:tc>
        <w:tc>
          <w:tcPr>
            <w:tcW w:type="dxa" w:w="2280"/>
          </w:tcPr>
          <w:p>
            <w:r>
              <w:rPr>
                <w:rFonts w:ascii="Times New Roman" w:hAnsi="Times New Roman"/>
                <w:sz w:val="21"/>
              </w:rPr>
              <w:t>Partiel</w:t>
            </w:r>
          </w:p>
        </w:tc>
        <w:tc>
          <w:tcPr>
            <w:tcW w:type="dxa" w:w="2280"/>
          </w:tcPr>
          <w:p>
            <w:r>
              <w:rPr>
                <w:rFonts w:ascii="Times New Roman" w:hAnsi="Times New Roman"/>
                <w:sz w:val="21"/>
              </w:rPr>
              <w:t>Oui (complet)</w:t>
            </w:r>
          </w:p>
        </w:tc>
      </w:tr>
      <w:tr>
        <w:tc>
          <w:tcPr>
            <w:tcW w:type="dxa" w:w="2280"/>
            <w:shd w:val="clear" w:color="auto" w:fill="EAF1F8"/>
          </w:tcPr>
          <w:p>
            <w:r>
              <w:rPr>
                <w:rFonts w:ascii="Times New Roman" w:hAnsi="Times New Roman"/>
                <w:b/>
                <w:sz w:val="21"/>
              </w:rPr>
              <w:t>LMS intégré</w:t>
            </w:r>
          </w:p>
        </w:tc>
        <w:tc>
          <w:tcPr>
            <w:tcW w:type="dxa" w:w="2280"/>
            <w:shd w:val="clear" w:color="auto" w:fill="EAF1F8"/>
          </w:tcPr>
          <w:p>
            <w:r>
              <w:rPr>
                <w:rFonts w:ascii="Times New Roman" w:hAnsi="Times New Roman"/>
                <w:sz w:val="21"/>
              </w:rPr>
              <w:t>Oui</w:t>
            </w:r>
          </w:p>
        </w:tc>
        <w:tc>
          <w:tcPr>
            <w:tcW w:type="dxa" w:w="2280"/>
            <w:shd w:val="clear" w:color="auto" w:fill="EAF1F8"/>
          </w:tcPr>
          <w:p>
            <w:r>
              <w:rPr>
                <w:rFonts w:ascii="Times New Roman" w:hAnsi="Times New Roman"/>
                <w:sz w:val="21"/>
              </w:rPr>
              <w:t>Oui (Moodle)</w:t>
            </w:r>
          </w:p>
        </w:tc>
        <w:tc>
          <w:tcPr>
            <w:tcW w:type="dxa" w:w="2280"/>
            <w:shd w:val="clear" w:color="auto" w:fill="EAF1F8"/>
          </w:tcPr>
          <w:p>
            <w:r>
              <w:rPr>
                <w:rFonts w:ascii="Times New Roman" w:hAnsi="Times New Roman"/>
                <w:sz w:val="21"/>
              </w:rPr>
              <w:t>Oui</w:t>
            </w:r>
          </w:p>
        </w:tc>
      </w:tr>
      <w:tr>
        <w:tc>
          <w:tcPr>
            <w:tcW w:type="dxa" w:w="2280"/>
          </w:tcPr>
          <w:p>
            <w:r>
              <w:rPr>
                <w:rFonts w:ascii="Times New Roman" w:hAnsi="Times New Roman"/>
                <w:b/>
                <w:sz w:val="21"/>
              </w:rPr>
              <w:t>Mobilité interne</w:t>
            </w:r>
          </w:p>
        </w:tc>
        <w:tc>
          <w:tcPr>
            <w:tcW w:type="dxa" w:w="2280"/>
          </w:tcPr>
          <w:p>
            <w:r>
              <w:rPr>
                <w:rFonts w:ascii="Times New Roman" w:hAnsi="Times New Roman"/>
                <w:sz w:val="21"/>
              </w:rPr>
              <w:t>Oui</w:t>
            </w:r>
          </w:p>
        </w:tc>
        <w:tc>
          <w:tcPr>
            <w:tcW w:type="dxa" w:w="2280"/>
          </w:tcPr>
          <w:p>
            <w:r>
              <w:rPr>
                <w:rFonts w:ascii="Times New Roman" w:hAnsi="Times New Roman"/>
                <w:sz w:val="21"/>
              </w:rPr>
              <w:t>Non</w:t>
            </w:r>
          </w:p>
        </w:tc>
        <w:tc>
          <w:tcPr>
            <w:tcW w:type="dxa" w:w="2280"/>
          </w:tcPr>
          <w:p>
            <w:r>
              <w:rPr>
                <w:rFonts w:ascii="Times New Roman" w:hAnsi="Times New Roman"/>
                <w:sz w:val="21"/>
              </w:rPr>
              <w:t>Oui</w:t>
            </w:r>
          </w:p>
        </w:tc>
      </w:tr>
      <w:tr>
        <w:tc>
          <w:tcPr>
            <w:tcW w:type="dxa" w:w="2280"/>
            <w:shd w:val="clear" w:color="auto" w:fill="EAF1F8"/>
          </w:tcPr>
          <w:p>
            <w:r>
              <w:rPr>
                <w:rFonts w:ascii="Times New Roman" w:hAnsi="Times New Roman"/>
                <w:b/>
                <w:sz w:val="21"/>
              </w:rPr>
              <w:t>Matching algorithmique</w:t>
            </w:r>
          </w:p>
        </w:tc>
        <w:tc>
          <w:tcPr>
            <w:tcW w:type="dxa" w:w="2280"/>
            <w:shd w:val="clear" w:color="auto" w:fill="EAF1F8"/>
          </w:tcPr>
          <w:p>
            <w:r>
              <w:rPr>
                <w:rFonts w:ascii="Times New Roman" w:hAnsi="Times New Roman"/>
                <w:sz w:val="21"/>
              </w:rPr>
              <w:t>Oui (IA avancée)</w:t>
            </w:r>
          </w:p>
        </w:tc>
        <w:tc>
          <w:tcPr>
            <w:tcW w:type="dxa" w:w="2280"/>
            <w:shd w:val="clear" w:color="auto" w:fill="EAF1F8"/>
          </w:tcPr>
          <w:p>
            <w:r>
              <w:rPr>
                <w:rFonts w:ascii="Times New Roman" w:hAnsi="Times New Roman"/>
                <w:sz w:val="21"/>
              </w:rPr>
              <w:t>Non</w:t>
            </w:r>
          </w:p>
        </w:tc>
        <w:tc>
          <w:tcPr>
            <w:tcW w:type="dxa" w:w="2280"/>
            <w:shd w:val="clear" w:color="auto" w:fill="EAF1F8"/>
          </w:tcPr>
          <w:p>
            <w:r>
              <w:rPr>
                <w:rFonts w:ascii="Times New Roman" w:hAnsi="Times New Roman"/>
                <w:sz w:val="21"/>
              </w:rPr>
              <w:t>Oui (règles métier)</w:t>
            </w:r>
          </w:p>
        </w:tc>
      </w:tr>
      <w:tr>
        <w:tc>
          <w:tcPr>
            <w:tcW w:type="dxa" w:w="2280"/>
          </w:tcPr>
          <w:p>
            <w:r>
              <w:rPr>
                <w:rFonts w:ascii="Times New Roman" w:hAnsi="Times New Roman"/>
                <w:b/>
                <w:sz w:val="21"/>
              </w:rPr>
              <w:t>Score de potentiel (savoir-évoluer)</w:t>
            </w:r>
          </w:p>
        </w:tc>
        <w:tc>
          <w:tcPr>
            <w:tcW w:type="dxa" w:w="2280"/>
          </w:tcPr>
          <w:p>
            <w:r>
              <w:rPr>
                <w:rFonts w:ascii="Times New Roman" w:hAnsi="Times New Roman"/>
                <w:sz w:val="21"/>
              </w:rPr>
              <w:t>Partiel</w:t>
            </w:r>
          </w:p>
        </w:tc>
        <w:tc>
          <w:tcPr>
            <w:tcW w:type="dxa" w:w="2280"/>
          </w:tcPr>
          <w:p>
            <w:r>
              <w:rPr>
                <w:rFonts w:ascii="Times New Roman" w:hAnsi="Times New Roman"/>
                <w:sz w:val="21"/>
              </w:rPr>
              <w:t>Non</w:t>
            </w:r>
          </w:p>
        </w:tc>
        <w:tc>
          <w:tcPr>
            <w:tcW w:type="dxa" w:w="2280"/>
          </w:tcPr>
          <w:p>
            <w:r>
              <w:rPr>
                <w:rFonts w:ascii="Times New Roman" w:hAnsi="Times New Roman"/>
                <w:sz w:val="21"/>
              </w:rPr>
              <w:t>Oui (proximité ROME)</w:t>
            </w:r>
          </w:p>
        </w:tc>
      </w:tr>
      <w:tr>
        <w:tc>
          <w:tcPr>
            <w:tcW w:type="dxa" w:w="2280"/>
            <w:shd w:val="clear" w:color="auto" w:fill="EAF1F8"/>
          </w:tcPr>
          <w:p>
            <w:r>
              <w:rPr>
                <w:rFonts w:ascii="Times New Roman" w:hAnsi="Times New Roman"/>
                <w:b/>
                <w:sz w:val="21"/>
              </w:rPr>
              <w:t>SSO natif entre modules</w:t>
            </w:r>
          </w:p>
        </w:tc>
        <w:tc>
          <w:tcPr>
            <w:tcW w:type="dxa" w:w="2280"/>
            <w:shd w:val="clear" w:color="auto" w:fill="EAF1F8"/>
          </w:tcPr>
          <w:p>
            <w:r>
              <w:rPr>
                <w:rFonts w:ascii="Times New Roman" w:hAnsi="Times New Roman"/>
                <w:sz w:val="21"/>
              </w:rPr>
              <w:t>Oui</w:t>
            </w:r>
          </w:p>
        </w:tc>
        <w:tc>
          <w:tcPr>
            <w:tcW w:type="dxa" w:w="2280"/>
            <w:shd w:val="clear" w:color="auto" w:fill="EAF1F8"/>
          </w:tcPr>
          <w:p>
            <w:r>
              <w:rPr>
                <w:rFonts w:ascii="Times New Roman" w:hAnsi="Times New Roman"/>
                <w:sz w:val="21"/>
              </w:rPr>
              <w:t>Complexe</w:t>
            </w:r>
          </w:p>
        </w:tc>
        <w:tc>
          <w:tcPr>
            <w:tcW w:type="dxa" w:w="2280"/>
            <w:shd w:val="clear" w:color="auto" w:fill="EAF1F8"/>
          </w:tcPr>
          <w:p>
            <w:r>
              <w:rPr>
                <w:rFonts w:ascii="Times New Roman" w:hAnsi="Times New Roman"/>
                <w:sz w:val="21"/>
              </w:rPr>
              <w:t>Oui (JWT partagé)</w:t>
            </w:r>
          </w:p>
        </w:tc>
      </w:tr>
      <w:tr>
        <w:tc>
          <w:tcPr>
            <w:tcW w:type="dxa" w:w="2280"/>
          </w:tcPr>
          <w:p>
            <w:r>
              <w:rPr>
                <w:rFonts w:ascii="Times New Roman" w:hAnsi="Times New Roman"/>
                <w:b/>
                <w:sz w:val="21"/>
              </w:rPr>
              <w:t>Portabilité candidat → employé</w:t>
            </w:r>
          </w:p>
        </w:tc>
        <w:tc>
          <w:tcPr>
            <w:tcW w:type="dxa" w:w="2280"/>
          </w:tcPr>
          <w:p>
            <w:r>
              <w:rPr>
                <w:rFonts w:ascii="Times New Roman" w:hAnsi="Times New Roman"/>
                <w:sz w:val="21"/>
              </w:rPr>
              <w:t>Oui</w:t>
            </w:r>
          </w:p>
        </w:tc>
        <w:tc>
          <w:tcPr>
            <w:tcW w:type="dxa" w:w="2280"/>
          </w:tcPr>
          <w:p>
            <w:r>
              <w:rPr>
                <w:rFonts w:ascii="Times New Roman" w:hAnsi="Times New Roman"/>
                <w:sz w:val="21"/>
              </w:rPr>
              <w:t>Non</w:t>
            </w:r>
          </w:p>
        </w:tc>
        <w:tc>
          <w:tcPr>
            <w:tcW w:type="dxa" w:w="2280"/>
          </w:tcPr>
          <w:p>
            <w:r>
              <w:rPr>
                <w:rFonts w:ascii="Times New Roman" w:hAnsi="Times New Roman"/>
                <w:sz w:val="21"/>
              </w:rPr>
              <w:t>Oui (automatique)</w:t>
            </w:r>
          </w:p>
        </w:tc>
      </w:tr>
      <w:tr>
        <w:tc>
          <w:tcPr>
            <w:tcW w:type="dxa" w:w="2280"/>
            <w:shd w:val="clear" w:color="auto" w:fill="EAF1F8"/>
          </w:tcPr>
          <w:p>
            <w:r>
              <w:rPr>
                <w:rFonts w:ascii="Times New Roman" w:hAnsi="Times New Roman"/>
                <w:b/>
                <w:sz w:val="21"/>
              </w:rPr>
              <w:t>Mise à jour automatique du référentiel</w:t>
            </w:r>
          </w:p>
        </w:tc>
        <w:tc>
          <w:tcPr>
            <w:tcW w:type="dxa" w:w="2280"/>
            <w:shd w:val="clear" w:color="auto" w:fill="EAF1F8"/>
          </w:tcPr>
          <w:p>
            <w:r>
              <w:rPr>
                <w:rFonts w:ascii="Times New Roman" w:hAnsi="Times New Roman"/>
                <w:sz w:val="21"/>
              </w:rPr>
              <w:t>Non</w:t>
            </w:r>
          </w:p>
        </w:tc>
        <w:tc>
          <w:tcPr>
            <w:tcW w:type="dxa" w:w="2280"/>
            <w:shd w:val="clear" w:color="auto" w:fill="EAF1F8"/>
          </w:tcPr>
          <w:p>
            <w:r>
              <w:rPr>
                <w:rFonts w:ascii="Times New Roman" w:hAnsi="Times New Roman"/>
                <w:sz w:val="21"/>
              </w:rPr>
              <w:t>Non</w:t>
            </w:r>
          </w:p>
        </w:tc>
        <w:tc>
          <w:tcPr>
            <w:tcW w:type="dxa" w:w="2280"/>
            <w:shd w:val="clear" w:color="auto" w:fill="EAF1F8"/>
          </w:tcPr>
          <w:p>
            <w:r>
              <w:rPr>
                <w:rFonts w:ascii="Times New Roman" w:hAnsi="Times New Roman"/>
                <w:sz w:val="21"/>
              </w:rPr>
              <w:t>Oui (référentiel vivant)</w:t>
            </w:r>
          </w:p>
        </w:tc>
      </w:tr>
      <w:tr>
        <w:tc>
          <w:tcPr>
            <w:tcW w:type="dxa" w:w="2280"/>
          </w:tcPr>
          <w:p>
            <w:r>
              <w:rPr>
                <w:rFonts w:ascii="Times New Roman" w:hAnsi="Times New Roman"/>
                <w:b/>
                <w:sz w:val="21"/>
              </w:rPr>
              <w:t>Fermeture du cycle de compétences</w:t>
            </w:r>
          </w:p>
        </w:tc>
        <w:tc>
          <w:tcPr>
            <w:tcW w:type="dxa" w:w="2280"/>
          </w:tcPr>
          <w:p>
            <w:r>
              <w:rPr>
                <w:rFonts w:ascii="Times New Roman" w:hAnsi="Times New Roman"/>
                <w:sz w:val="21"/>
              </w:rPr>
              <w:t>Partielle</w:t>
            </w:r>
          </w:p>
        </w:tc>
        <w:tc>
          <w:tcPr>
            <w:tcW w:type="dxa" w:w="2280"/>
          </w:tcPr>
          <w:p>
            <w:r>
              <w:rPr>
                <w:rFonts w:ascii="Times New Roman" w:hAnsi="Times New Roman"/>
                <w:sz w:val="21"/>
              </w:rPr>
              <w:t>Non</w:t>
            </w:r>
          </w:p>
        </w:tc>
        <w:tc>
          <w:tcPr>
            <w:tcW w:type="dxa" w:w="2280"/>
          </w:tcPr>
          <w:p>
            <w:r>
              <w:rPr>
                <w:rFonts w:ascii="Times New Roman" w:hAnsi="Times New Roman"/>
                <w:sz w:val="21"/>
              </w:rPr>
              <w:t>Oui (de bout en bout)</w:t>
            </w:r>
          </w:p>
        </w:tc>
      </w:tr>
      <w:tr>
        <w:tc>
          <w:tcPr>
            <w:tcW w:type="dxa" w:w="2280"/>
            <w:shd w:val="clear" w:color="auto" w:fill="EAF1F8"/>
          </w:tcPr>
          <w:p>
            <w:r>
              <w:rPr>
                <w:rFonts w:ascii="Times New Roman" w:hAnsi="Times New Roman"/>
                <w:b/>
                <w:sz w:val="21"/>
              </w:rPr>
              <w:t>Coût</w:t>
            </w:r>
          </w:p>
        </w:tc>
        <w:tc>
          <w:tcPr>
            <w:tcW w:type="dxa" w:w="2280"/>
            <w:shd w:val="clear" w:color="auto" w:fill="EAF1F8"/>
          </w:tcPr>
          <w:p>
            <w:r>
              <w:rPr>
                <w:rFonts w:ascii="Times New Roman" w:hAnsi="Times New Roman"/>
                <w:sz w:val="21"/>
              </w:rPr>
              <w:t>Très élevé (licence)</w:t>
            </w:r>
          </w:p>
        </w:tc>
        <w:tc>
          <w:tcPr>
            <w:tcW w:type="dxa" w:w="2280"/>
            <w:shd w:val="clear" w:color="auto" w:fill="EAF1F8"/>
          </w:tcPr>
          <w:p>
            <w:r>
              <w:rPr>
                <w:rFonts w:ascii="Times New Roman" w:hAnsi="Times New Roman"/>
                <w:sz w:val="21"/>
              </w:rPr>
              <w:t>Élevé (intégration)</w:t>
            </w:r>
          </w:p>
        </w:tc>
        <w:tc>
          <w:tcPr>
            <w:tcW w:type="dxa" w:w="2280"/>
            <w:shd w:val="clear" w:color="auto" w:fill="EAF1F8"/>
          </w:tcPr>
          <w:p>
            <w:r>
              <w:rPr>
                <w:rFonts w:ascii="Times New Roman" w:hAnsi="Times New Roman"/>
                <w:sz w:val="21"/>
              </w:rPr>
              <w:t>Faible (sur mesure)</w:t>
            </w:r>
          </w:p>
        </w:tc>
      </w:tr>
      <w:tr>
        <w:tc>
          <w:tcPr>
            <w:tcW w:type="dxa" w:w="2280"/>
          </w:tcPr>
          <w:p>
            <w:r>
              <w:rPr>
                <w:rFonts w:ascii="Times New Roman" w:hAnsi="Times New Roman"/>
                <w:b/>
                <w:sz w:val="21"/>
              </w:rPr>
              <w:t>Personnalisation ONCF / IFDC</w:t>
            </w:r>
          </w:p>
        </w:tc>
        <w:tc>
          <w:tcPr>
            <w:tcW w:type="dxa" w:w="2280"/>
          </w:tcPr>
          <w:p>
            <w:r>
              <w:rPr>
                <w:rFonts w:ascii="Times New Roman" w:hAnsi="Times New Roman"/>
                <w:sz w:val="21"/>
              </w:rPr>
              <w:t>Faible</w:t>
            </w:r>
          </w:p>
        </w:tc>
        <w:tc>
          <w:tcPr>
            <w:tcW w:type="dxa" w:w="2280"/>
          </w:tcPr>
          <w:p>
            <w:r>
              <w:rPr>
                <w:rFonts w:ascii="Times New Roman" w:hAnsi="Times New Roman"/>
                <w:sz w:val="21"/>
              </w:rPr>
              <w:t>Moyenne</w:t>
            </w:r>
          </w:p>
        </w:tc>
        <w:tc>
          <w:tcPr>
            <w:tcW w:type="dxa" w:w="2280"/>
          </w:tcPr>
          <w:p>
            <w:r>
              <w:rPr>
                <w:rFonts w:ascii="Times New Roman" w:hAnsi="Times New Roman"/>
                <w:sz w:val="21"/>
              </w:rPr>
              <w:t>Totale</w:t>
            </w:r>
          </w:p>
        </w:tc>
      </w:tr>
      <w:tr>
        <w:tc>
          <w:tcPr>
            <w:tcW w:type="dxa" w:w="2280"/>
            <w:shd w:val="clear" w:color="auto" w:fill="EAF1F8"/>
          </w:tcPr>
          <w:p>
            <w:r>
              <w:rPr>
                <w:rFonts w:ascii="Times New Roman" w:hAnsi="Times New Roman"/>
                <w:b/>
                <w:sz w:val="21"/>
              </w:rPr>
              <w:t>Déploiement on-premise</w:t>
            </w:r>
          </w:p>
        </w:tc>
        <w:tc>
          <w:tcPr>
            <w:tcW w:type="dxa" w:w="2280"/>
            <w:shd w:val="clear" w:color="auto" w:fill="EAF1F8"/>
          </w:tcPr>
          <w:p>
            <w:r>
              <w:rPr>
                <w:rFonts w:ascii="Times New Roman" w:hAnsi="Times New Roman"/>
                <w:sz w:val="21"/>
              </w:rPr>
              <w:t>Complexe</w:t>
            </w:r>
          </w:p>
        </w:tc>
        <w:tc>
          <w:tcPr>
            <w:tcW w:type="dxa" w:w="2280"/>
            <w:shd w:val="clear" w:color="auto" w:fill="EAF1F8"/>
          </w:tcPr>
          <w:p>
            <w:r>
              <w:rPr>
                <w:rFonts w:ascii="Times New Roman" w:hAnsi="Times New Roman"/>
                <w:sz w:val="21"/>
              </w:rPr>
              <w:t>Possible</w:t>
            </w:r>
          </w:p>
        </w:tc>
        <w:tc>
          <w:tcPr>
            <w:tcW w:type="dxa" w:w="2280"/>
            <w:shd w:val="clear" w:color="auto" w:fill="EAF1F8"/>
          </w:tcPr>
          <w:p>
            <w:r>
              <w:rPr>
                <w:rFonts w:ascii="Times New Roman" w:hAnsi="Times New Roman"/>
                <w:sz w:val="21"/>
              </w:rPr>
              <w:t>Natif</w:t>
            </w:r>
          </w:p>
        </w:tc>
      </w:tr>
    </w:tbl>
    <w:p>
      <w:pPr>
        <w:spacing w:after="120"/>
        <w:ind w:firstLine="567"/>
        <w:jc w:val="both"/>
      </w:pPr>
      <w:r>
        <w:rPr>
          <w:rFonts w:ascii="Times New Roman" w:hAnsi="Times New Roman"/>
          <w:sz w:val="24"/>
        </w:rPr>
        <w:t>Cette comparaison met en évidence un résultat décisif : la ligne « mise à jour automatique du référentiel » est la seule que ni les suites commerciales ni les assemblages d'outils libres ne cochent. C'est précisément là que se situe la contribution propre de RecruitPRO. Sa valeur ajoutée ne tient pas à l'addition d'un ATS et d'un LMS — fonctionnalités déjà offertes par le marché — mais à la fermeture du cycle d'ingénierie des compétences de bout en bout et au maintien d'un référentiel vivant, le tout pour un coût de déploiement nettement inférieur et une adéquation totale au contexte de l'ONCF.</w:t>
      </w:r>
    </w:p>
    <w:p>
      <w:pPr>
        <w:pStyle w:val="Heading2"/>
      </w:pPr>
      <w:r>
        <w:rPr>
          <w:rFonts w:ascii="Times New Roman" w:hAnsi="Times New Roman"/>
          <w:color w:val="2E74B5"/>
          <w:sz w:val="28"/>
        </w:rPr>
        <w:t>2.5 Synthèse et positionnement de RecruitPRO</w:t>
      </w:r>
    </w:p>
    <w:p>
      <w:pPr>
        <w:spacing w:after="120"/>
        <w:ind w:firstLine="567"/>
        <w:jc w:val="both"/>
      </w:pPr>
      <w:r>
        <w:rPr>
          <w:rFonts w:ascii="Times New Roman" w:hAnsi="Times New Roman"/>
          <w:sz w:val="24"/>
        </w:rPr>
        <w:t>Ce chapitre a parcouru un fil continu. Nous avons d'abord établi que la compétence est un construit contextuel et dynamique, dont seule la partie déclarée est accessible à un système d'information — ce qui impose un modèle opérationnel assumé (domaine, niveau, expérience) et une posture d'aide à la décision. Nous avons ensuite montré que le pilotage des compétences appelle aujourd'hui non plus une simple gestion périodique, mais une véritable ingénierie : la conception de systèmes capables de maintenir un référentiel dans la durée.</w:t>
      </w:r>
    </w:p>
    <w:p>
      <w:pPr>
        <w:spacing w:after="120"/>
        <w:ind w:firstLine="567"/>
        <w:jc w:val="both"/>
      </w:pPr>
      <w:r>
        <w:rPr>
          <w:rFonts w:ascii="Times New Roman" w:hAnsi="Times New Roman"/>
          <w:sz w:val="24"/>
        </w:rPr>
        <w:t>De ce constat est née la question directrice du projet — rendre opérationnel un référentiel de compétences vivant — à l'aune de laquelle l'étude de l'existant a révélé une fragmentation persistante : les ATS abandonnent le profil au moment du recrutement, les LMS tracent la formation en silo, et les SIRH intégrés n'offrent qu'une intégration de surface. Aucun n'assure la mise à jour continue du référentiel ni la fermeture complète du cycle.</w:t>
      </w:r>
    </w:p>
    <w:p>
      <w:pPr>
        <w:spacing w:after="120"/>
        <w:ind w:firstLine="567"/>
        <w:jc w:val="both"/>
      </w:pPr>
      <w:r>
        <w:rPr>
          <w:rFonts w:ascii="Times New Roman" w:hAnsi="Times New Roman"/>
          <w:sz w:val="24"/>
        </w:rPr>
        <w:t>RecruitPRO se positionne exactement dans cet espace laissé vacant. En articulant trois mécanismes — synchronisation formation → profil, portabilité candidat → employé, analyse de profil et suggestions d'évolution — autour d'un référentiel de compétences unique et d'une identité numérique partagée, la plateforme propose une réponse concrète à la question posée. Le chapitre suivant traduit cette réponse en exigences précises, en analysant les besoins fonctionnels et non fonctionnels qui en découlent.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