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97D"/>
          <w:sz w:val="32"/>
        </w:rPr>
        <w:t>Chapitre 2 : État de l'art et positionnement du projet</w:t>
      </w:r>
    </w:p>
    <w:p>
      <w:pPr>
        <w:spacing w:after="120"/>
        <w:ind w:firstLine="567"/>
        <w:jc w:val="both"/>
      </w:pPr>
      <w:r>
        <w:rPr>
          <w:rFonts w:ascii="Times New Roman" w:hAnsi="Times New Roman"/>
          <w:sz w:val="24"/>
        </w:rPr>
        <w:t>Ce chapitre construit le cadre de référence dans lequel s'inscrit RecruitPRO. Il ne se limite pas à un inventaire des outils logiciels existants : il part de la discipline de l'ingénierie des compétences pour montrer comment les systèmes numériques actuels en opérationnalisent chacun un fragment, sans jamais en fermer le cycle complet. C'est dans cet espace que se situe la contribution de ce projet.</w:t>
      </w:r>
    </w:p>
    <w:p>
      <w:pPr>
        <w:pStyle w:val="Heading2"/>
      </w:pPr>
      <w:r>
        <w:rPr>
          <w:rFonts w:ascii="Times New Roman" w:hAnsi="Times New Roman"/>
          <w:color w:val="2E74B5"/>
          <w:sz w:val="28"/>
        </w:rPr>
        <w:t>2.1 L'ingénierie des compétences : fondements conceptuels</w:t>
      </w:r>
    </w:p>
    <w:p>
      <w:pPr>
        <w:pStyle w:val="Heading3"/>
      </w:pPr>
      <w:r>
        <w:rPr>
          <w:rFonts w:ascii="Times New Roman" w:hAnsi="Times New Roman"/>
          <w:b/>
          <w:sz w:val="24"/>
        </w:rPr>
        <w:t>2.1.1 La compétence : une notion multidimensionnelle</w:t>
      </w:r>
    </w:p>
    <w:p>
      <w:pPr>
        <w:spacing w:after="120"/>
        <w:ind w:firstLine="567"/>
        <w:jc w:val="both"/>
      </w:pPr>
      <w:r>
        <w:rPr>
          <w:rFonts w:ascii="Times New Roman" w:hAnsi="Times New Roman"/>
          <w:sz w:val="24"/>
        </w:rPr>
        <w:t>La compétence est au cœur de l'ingénierie des compétences, mais elle résiste à une définition unique. La tradition française des sciences de la formation distingue plusieurs couches qui se superposent sans s'annuler.</w:t>
      </w:r>
    </w:p>
    <w:p>
      <w:pPr>
        <w:spacing w:after="120"/>
        <w:ind w:firstLine="567"/>
        <w:jc w:val="both"/>
      </w:pPr>
      <w:r>
        <w:rPr>
          <w:rFonts w:ascii="Times New Roman" w:hAnsi="Times New Roman"/>
          <w:sz w:val="24"/>
        </w:rPr>
        <w:t>La définition fondatrice de Guy Le Boterf (2000) place la compétence comme « la capacité à mobiliser et combiner des ressources pour gérer un ensemble de situations professionnelles. » Ce qui est décisif dans cette formulation, c'est le verbe mobiliser : posséder des savoirs ne suffit pas, il faut être capable de les activer au bon moment, dans le bon contexte. La compétence n'est pas un stock — c'est un acte.</w:t>
      </w:r>
    </w:p>
    <w:p>
      <w:pPr>
        <w:spacing w:after="120"/>
        <w:ind w:firstLine="567"/>
        <w:jc w:val="both"/>
      </w:pPr>
      <w:r>
        <w:rPr>
          <w:rFonts w:ascii="Times New Roman" w:hAnsi="Times New Roman"/>
          <w:sz w:val="24"/>
        </w:rPr>
        <w:t>Cette logique de mobilisation se décline en quatre registres complémentaires :</w:t>
      </w:r>
    </w:p>
    <w:p>
      <w:pPr>
        <w:pStyle w:val="ListBullet"/>
        <w:ind w:left="567"/>
      </w:pPr>
      <w:r>
        <w:rPr>
          <w:rFonts w:ascii="Times New Roman" w:hAnsi="Times New Roman"/>
          <w:b/>
          <w:sz w:val="24"/>
        </w:rPr>
        <w:t>Le savoir</w:t>
      </w:r>
      <w:r>
        <w:rPr>
          <w:rFonts w:ascii="Times New Roman" w:hAnsi="Times New Roman"/>
          <w:sz w:val="24"/>
        </w:rPr>
        <w:t xml:space="preserve"> : l'ensemble des connaissances théoriques et spécialisées acquises par la formation ou l'expérience.</w:t>
      </w:r>
    </w:p>
    <w:p>
      <w:pPr>
        <w:pStyle w:val="ListBullet"/>
        <w:ind w:left="567"/>
      </w:pPr>
      <w:r>
        <w:rPr>
          <w:rFonts w:ascii="Times New Roman" w:hAnsi="Times New Roman"/>
          <w:b/>
          <w:sz w:val="24"/>
        </w:rPr>
        <w:t>Le savoir-faire</w:t>
      </w:r>
      <w:r>
        <w:rPr>
          <w:rFonts w:ascii="Times New Roman" w:hAnsi="Times New Roman"/>
          <w:sz w:val="24"/>
        </w:rPr>
        <w:t xml:space="preserve"> : la mise en œuvre concrète de ces connaissances dans des situations réelles — les habiletés pratiques.</w:t>
      </w:r>
    </w:p>
    <w:p>
      <w:pPr>
        <w:pStyle w:val="ListBullet"/>
        <w:ind w:left="567"/>
      </w:pPr>
      <w:r>
        <w:rPr>
          <w:rFonts w:ascii="Times New Roman" w:hAnsi="Times New Roman"/>
          <w:b/>
          <w:sz w:val="24"/>
        </w:rPr>
        <w:t>Le savoir-être</w:t>
      </w:r>
      <w:r>
        <w:rPr>
          <w:rFonts w:ascii="Times New Roman" w:hAnsi="Times New Roman"/>
          <w:sz w:val="24"/>
        </w:rPr>
        <w:t xml:space="preserve"> : les attitudes comportementales, la posture professionnelle, la capacité à travailler avec d'autres.</w:t>
      </w:r>
    </w:p>
    <w:p>
      <w:pPr>
        <w:pStyle w:val="ListBullet"/>
        <w:ind w:left="567"/>
      </w:pPr>
      <w:r>
        <w:rPr>
          <w:rFonts w:ascii="Times New Roman" w:hAnsi="Times New Roman"/>
          <w:b/>
          <w:sz w:val="24"/>
        </w:rPr>
        <w:t>Le savoir-évoluer</w:t>
      </w:r>
      <w:r>
        <w:rPr>
          <w:rFonts w:ascii="Times New Roman" w:hAnsi="Times New Roman"/>
          <w:sz w:val="24"/>
        </w:rPr>
        <w:t xml:space="preserve"> : la capacité d'adaptation et d'évolution face aux changements technologiques, organisationnels ou métiers — degré de flexibilité et d'apprentissage continu.</w:t>
      </w:r>
    </w:p>
    <w:p>
      <w:pPr>
        <w:spacing w:after="120"/>
        <w:ind w:firstLine="567"/>
        <w:jc w:val="both"/>
      </w:pPr>
      <w:r>
        <w:rPr>
          <w:rFonts w:ascii="Times New Roman" w:hAnsi="Times New Roman"/>
          <w:sz w:val="24"/>
        </w:rPr>
        <w:t>Cette quatrième dimension, le savoir-évoluer, est particulièrement significative pour ce projet. Elle désigne précisément ce qu'on mesure lorsqu'on évalue non pas les compétences qu'un individu possède aujourd'hui, mais sa capacité à en acquérir de nouvelles. C'est la fondation théorique du score de potentiel implémenté dans le moteur de matching de RecruitPRO.</w:t>
      </w:r>
    </w:p>
    <w:p>
      <w:pPr>
        <w:spacing w:after="120"/>
        <w:ind w:firstLine="567"/>
        <w:jc w:val="both"/>
      </w:pPr>
      <w:r>
        <w:rPr>
          <w:rFonts w:ascii="Times New Roman" w:hAnsi="Times New Roman"/>
          <w:sz w:val="24"/>
        </w:rPr>
        <w:t>Une définition encore plus large introduit trois conditions nécessaires à l'expression de la compétence en situation :</w:t>
      </w:r>
    </w:p>
    <w:p>
      <w:pPr>
        <w:pStyle w:val="ListBullet"/>
        <w:ind w:left="567"/>
      </w:pPr>
      <w:r>
        <w:rPr>
          <w:rFonts w:ascii="Times New Roman" w:hAnsi="Times New Roman"/>
          <w:b/>
          <w:sz w:val="24"/>
        </w:rPr>
        <w:t>Le savoir-agir</w:t>
      </w:r>
      <w:r>
        <w:rPr>
          <w:rFonts w:ascii="Times New Roman" w:hAnsi="Times New Roman"/>
          <w:sz w:val="24"/>
        </w:rPr>
        <w:t xml:space="preserve"> : la capacité effective de mobiliser ses ressources (dimension cognitive et technique).</w:t>
      </w:r>
    </w:p>
    <w:p>
      <w:pPr>
        <w:pStyle w:val="ListBullet"/>
        <w:ind w:left="567"/>
      </w:pPr>
      <w:r>
        <w:rPr>
          <w:rFonts w:ascii="Times New Roman" w:hAnsi="Times New Roman"/>
          <w:b/>
          <w:sz w:val="24"/>
        </w:rPr>
        <w:t>Le vouloir-agir</w:t>
      </w:r>
      <w:r>
        <w:rPr>
          <w:rFonts w:ascii="Times New Roman" w:hAnsi="Times New Roman"/>
          <w:sz w:val="24"/>
        </w:rPr>
        <w:t xml:space="preserve"> : la motivation intrinsèque qui pousse l'individu à s'engager dans la situation (dimension affective).</w:t>
      </w:r>
    </w:p>
    <w:p>
      <w:pPr>
        <w:pStyle w:val="ListBullet"/>
        <w:ind w:left="567"/>
      </w:pPr>
      <w:r>
        <w:rPr>
          <w:rFonts w:ascii="Times New Roman" w:hAnsi="Times New Roman"/>
          <w:b/>
          <w:sz w:val="24"/>
        </w:rPr>
        <w:t>Le pouvoir-agir</w:t>
      </w:r>
      <w:r>
        <w:rPr>
          <w:rFonts w:ascii="Times New Roman" w:hAnsi="Times New Roman"/>
          <w:sz w:val="24"/>
        </w:rPr>
        <w:t xml:space="preserve"> : le contexte organisationnel, managérial et social qui rend possible ou empêche l'expression de la compétence (dimension environnementale).</w:t>
      </w:r>
    </w:p>
    <w:p>
      <w:pPr>
        <w:spacing w:before="160" w:after="160"/>
        <w:ind w:left="850" w:right="850"/>
        <w:jc w:val="both"/>
        <w:pBdr>
          <w:left w:val="single" w:sz="12" w:space="12" w:color="2E74B5"/>
        </w:pBdr>
      </w:pPr>
      <w:r>
        <w:rPr>
          <w:rFonts w:ascii="Times New Roman" w:hAnsi="Times New Roman"/>
          <w:b/>
          <w:color w:val="1F497D"/>
          <w:sz w:val="22"/>
        </w:rPr>
        <w:t xml:space="preserve">Limite assumée — </w:t>
      </w:r>
      <w:r>
        <w:rPr>
          <w:rFonts w:ascii="Times New Roman" w:hAnsi="Times New Roman"/>
          <w:i/>
          <w:sz w:val="22"/>
        </w:rPr>
        <w:t>RecruitPRO modélise principalement le savoir-agir à travers les profils de compétences déclarés et le savoir-évoluer à travers le score de potentiel. Le vouloir-agir (motivation) et le pouvoir-agir (contexte organisationnel) ne sont pas quantifiés dans la version actuelle — ils constituent une perspective d'enrichissement que nous aborderons en conclusion.</w:t>
      </w:r>
    </w:p>
    <w:p>
      <w:pPr>
        <w:spacing w:after="120"/>
        <w:ind w:firstLine="567"/>
        <w:jc w:val="both"/>
      </w:pPr>
      <w:r>
        <w:rPr>
          <w:rFonts w:ascii="Times New Roman" w:hAnsi="Times New Roman"/>
          <w:sz w:val="24"/>
        </w:rPr>
        <w:t>Enfin, trois caractéristiques essentielles définissent la nature de la compétence :</w:t>
      </w:r>
    </w:p>
    <w:p>
      <w:pPr>
        <w:pStyle w:val="ListBullet"/>
        <w:ind w:left="567"/>
      </w:pPr>
      <w:r>
        <w:rPr>
          <w:rFonts w:ascii="Times New Roman" w:hAnsi="Times New Roman"/>
          <w:b/>
          <w:sz w:val="24"/>
        </w:rPr>
        <w:t>Contextuelle</w:t>
      </w:r>
      <w:r>
        <w:rPr>
          <w:rFonts w:ascii="Times New Roman" w:hAnsi="Times New Roman"/>
          <w:sz w:val="24"/>
        </w:rPr>
        <w:t xml:space="preserve"> : la compétence ne s'exprime jamais dans l'absolu — elle dépend du contexte professionnel dans lequel elle est mobilisée.</w:t>
      </w:r>
    </w:p>
    <w:p>
      <w:pPr>
        <w:pStyle w:val="ListBullet"/>
        <w:ind w:left="567"/>
      </w:pPr>
      <w:r>
        <w:rPr>
          <w:rFonts w:ascii="Times New Roman" w:hAnsi="Times New Roman"/>
          <w:b/>
          <w:sz w:val="24"/>
        </w:rPr>
        <w:t>Évaluable</w:t>
      </w:r>
      <w:r>
        <w:rPr>
          <w:rFonts w:ascii="Times New Roman" w:hAnsi="Times New Roman"/>
          <w:sz w:val="24"/>
        </w:rPr>
        <w:t xml:space="preserve"> : elle peut être mesurée à travers des critères objectifs, ce qui rend possible sa modélisation numérique.</w:t>
      </w:r>
    </w:p>
    <w:p>
      <w:pPr>
        <w:pStyle w:val="ListBullet"/>
        <w:ind w:left="567"/>
      </w:pPr>
      <w:r>
        <w:rPr>
          <w:rFonts w:ascii="Times New Roman" w:hAnsi="Times New Roman"/>
          <w:b/>
          <w:sz w:val="24"/>
        </w:rPr>
        <w:t>Dynamique</w:t>
      </w:r>
      <w:r>
        <w:rPr>
          <w:rFonts w:ascii="Times New Roman" w:hAnsi="Times New Roman"/>
          <w:sz w:val="24"/>
        </w:rPr>
        <w:t xml:space="preserve"> : elle n'est pas figée — elle évolue avec le temps, les technologies et les besoins de l'organisation.</w:t>
      </w:r>
    </w:p>
    <w:p>
      <w:pPr>
        <w:spacing w:after="120"/>
        <w:ind w:firstLine="567"/>
        <w:jc w:val="both"/>
      </w:pPr>
      <w:r>
        <w:rPr>
          <w:rFonts w:ascii="Times New Roman" w:hAnsi="Times New Roman"/>
          <w:sz w:val="24"/>
        </w:rPr>
        <w:t>C'est précisément parce que la compétence est évaluable et dynamique qu'un système numérique peut prétendre en assurer le suivi dans le temps. Et c'est parce qu'elle est contextuelle que ce suivi doit être articulé à un référentiel métier — comme le ROME — plutôt qu'à une liste de mots-clés génériques.</w:t>
      </w:r>
    </w:p>
    <w:p>
      <w:pPr>
        <w:pStyle w:val="Heading3"/>
      </w:pPr>
      <w:r>
        <w:rPr>
          <w:rFonts w:ascii="Times New Roman" w:hAnsi="Times New Roman"/>
          <w:b/>
          <w:sz w:val="24"/>
        </w:rPr>
        <w:t>2.1.2 La hiérarchisation des compétences par niveau de maîtrise</w:t>
      </w:r>
    </w:p>
    <w:p>
      <w:pPr>
        <w:spacing w:after="120"/>
        <w:ind w:firstLine="567"/>
        <w:jc w:val="both"/>
      </w:pPr>
      <w:r>
        <w:rPr>
          <w:rFonts w:ascii="Times New Roman" w:hAnsi="Times New Roman"/>
          <w:sz w:val="24"/>
        </w:rPr>
        <w:t>La compétence n'est pas binaire. Elle s'acquiert progressivement, et cette progression peut être modélisée en niveaux de maîtrise. La littérature en ingénierie pédagogique et en gestion des compétences s'accorde généralement sur une échelle à quatre niveaux :</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Times New Roman" w:hAnsi="Times New Roman"/>
                <w:b/>
                <w:color w:val="FFFFFF"/>
                <w:sz w:val="22"/>
              </w:rPr>
              <w:t>Niveau</w:t>
            </w:r>
          </w:p>
        </w:tc>
        <w:tc>
          <w:tcPr>
            <w:tcW w:type="dxa" w:w="3041"/>
            <w:shd w:val="clear" w:color="auto" w:fill="1F497D"/>
          </w:tcPr>
          <w:p>
            <w:pPr>
              <w:jc w:val="center"/>
            </w:pPr>
            <w:r>
              <w:rPr>
                <w:rFonts w:ascii="Times New Roman" w:hAnsi="Times New Roman"/>
                <w:b/>
                <w:color w:val="FFFFFF"/>
                <w:sz w:val="22"/>
              </w:rPr>
              <w:t>Dénomination</w:t>
            </w:r>
          </w:p>
        </w:tc>
        <w:tc>
          <w:tcPr>
            <w:tcW w:type="dxa" w:w="3041"/>
            <w:shd w:val="clear" w:color="auto" w:fill="1F497D"/>
          </w:tcPr>
          <w:p>
            <w:pPr>
              <w:jc w:val="center"/>
            </w:pPr>
            <w:r>
              <w:rPr>
                <w:rFonts w:ascii="Times New Roman" w:hAnsi="Times New Roman"/>
                <w:b/>
                <w:color w:val="FFFFFF"/>
                <w:sz w:val="22"/>
              </w:rPr>
              <w:t>Description opérationnelle</w:t>
            </w:r>
          </w:p>
        </w:tc>
      </w:tr>
      <w:tr>
        <w:tc>
          <w:tcPr>
            <w:tcW w:type="dxa" w:w="3041"/>
          </w:tcPr>
          <w:p>
            <w:r>
              <w:rPr>
                <w:rFonts w:ascii="Times New Roman" w:hAnsi="Times New Roman"/>
                <w:sz w:val="22"/>
              </w:rPr>
              <w:t>1 — Initiation</w:t>
            </w:r>
          </w:p>
        </w:tc>
        <w:tc>
          <w:tcPr>
            <w:tcW w:type="dxa" w:w="3041"/>
          </w:tcPr>
          <w:p>
            <w:r>
              <w:rPr>
                <w:rFonts w:ascii="Times New Roman" w:hAnsi="Times New Roman"/>
                <w:sz w:val="22"/>
              </w:rPr>
              <w:t>Notions de base</w:t>
            </w:r>
          </w:p>
        </w:tc>
        <w:tc>
          <w:tcPr>
            <w:tcW w:type="dxa" w:w="3041"/>
          </w:tcPr>
          <w:p>
            <w:r>
              <w:rPr>
                <w:rFonts w:ascii="Times New Roman" w:hAnsi="Times New Roman"/>
                <w:sz w:val="22"/>
              </w:rPr>
              <w:t>Compréhension élémentaire. Capacité à suivre des instructions simples sous supervision étroite.</w:t>
            </w:r>
          </w:p>
        </w:tc>
      </w:tr>
      <w:tr>
        <w:tc>
          <w:tcPr>
            <w:tcW w:type="dxa" w:w="3041"/>
          </w:tcPr>
          <w:p>
            <w:r>
              <w:rPr>
                <w:rFonts w:ascii="Times New Roman" w:hAnsi="Times New Roman"/>
                <w:sz w:val="22"/>
              </w:rPr>
              <w:t>2 — Opérationnel</w:t>
            </w:r>
          </w:p>
        </w:tc>
        <w:tc>
          <w:tcPr>
            <w:tcW w:type="dxa" w:w="3041"/>
          </w:tcPr>
          <w:p>
            <w:r>
              <w:rPr>
                <w:rFonts w:ascii="Times New Roman" w:hAnsi="Times New Roman"/>
                <w:sz w:val="22"/>
              </w:rPr>
              <w:t>Application pratique</w:t>
            </w:r>
          </w:p>
        </w:tc>
        <w:tc>
          <w:tcPr>
            <w:tcW w:type="dxa" w:w="3041"/>
          </w:tcPr>
          <w:p>
            <w:r>
              <w:rPr>
                <w:rFonts w:ascii="Times New Roman" w:hAnsi="Times New Roman"/>
                <w:sz w:val="22"/>
              </w:rPr>
              <w:t>Capacité à appliquer la compétence dans des situations courantes, avec un accompagnement ponctuel.</w:t>
            </w:r>
          </w:p>
        </w:tc>
      </w:tr>
      <w:tr>
        <w:tc>
          <w:tcPr>
            <w:tcW w:type="dxa" w:w="3041"/>
          </w:tcPr>
          <w:p>
            <w:r>
              <w:rPr>
                <w:rFonts w:ascii="Times New Roman" w:hAnsi="Times New Roman"/>
                <w:sz w:val="22"/>
              </w:rPr>
              <w:t>3 — Autonomie</w:t>
            </w:r>
          </w:p>
        </w:tc>
        <w:tc>
          <w:tcPr>
            <w:tcW w:type="dxa" w:w="3041"/>
          </w:tcPr>
          <w:p>
            <w:r>
              <w:rPr>
                <w:rFonts w:ascii="Times New Roman" w:hAnsi="Times New Roman"/>
                <w:sz w:val="22"/>
              </w:rPr>
              <w:t>Maîtrise avancée</w:t>
            </w:r>
          </w:p>
        </w:tc>
        <w:tc>
          <w:tcPr>
            <w:tcW w:type="dxa" w:w="3041"/>
          </w:tcPr>
          <w:p>
            <w:r>
              <w:rPr>
                <w:rFonts w:ascii="Times New Roman" w:hAnsi="Times New Roman"/>
                <w:sz w:val="22"/>
              </w:rPr>
              <w:t>Capacité à travailler de manière indépendante, à résoudre des problèmes et à s'adapter à des situations nouvelles.</w:t>
            </w:r>
          </w:p>
        </w:tc>
      </w:tr>
      <w:tr>
        <w:tc>
          <w:tcPr>
            <w:tcW w:type="dxa" w:w="3041"/>
          </w:tcPr>
          <w:p>
            <w:r>
              <w:rPr>
                <w:rFonts w:ascii="Times New Roman" w:hAnsi="Times New Roman"/>
                <w:sz w:val="22"/>
              </w:rPr>
              <w:t>4 — Expertise</w:t>
            </w:r>
          </w:p>
        </w:tc>
        <w:tc>
          <w:tcPr>
            <w:tcW w:type="dxa" w:w="3041"/>
          </w:tcPr>
          <w:p>
            <w:r>
              <w:rPr>
                <w:rFonts w:ascii="Times New Roman" w:hAnsi="Times New Roman"/>
                <w:sz w:val="22"/>
              </w:rPr>
              <w:t>Leadership</w:t>
            </w:r>
          </w:p>
        </w:tc>
        <w:tc>
          <w:tcPr>
            <w:tcW w:type="dxa" w:w="3041"/>
          </w:tcPr>
          <w:p>
            <w:r>
              <w:rPr>
                <w:rFonts w:ascii="Times New Roman" w:hAnsi="Times New Roman"/>
                <w:sz w:val="22"/>
              </w:rPr>
              <w:t>Capacité à enseigner, à guider d'autres, à innover et à optimiser les processus dans le domaine.</w:t>
            </w:r>
          </w:p>
        </w:tc>
      </w:tr>
    </w:tbl>
    <w:p>
      <w:pPr>
        <w:spacing w:after="120"/>
        <w:ind w:firstLine="567"/>
        <w:jc w:val="both"/>
      </w:pPr>
      <w:r>
        <w:rPr>
          <w:rFonts w:ascii="Times New Roman" w:hAnsi="Times New Roman"/>
          <w:sz w:val="24"/>
        </w:rPr>
        <w:t>Cette hiérarchisation est directement implémentée dans le modèle de données de RecruitPRO : le champ level (1-4) sur les tables CandidateSkill et EmployeeSkill traduit exactement ces quatre niveaux. Ce n'est pas un choix arbitraire — c'est l'opérationnalisation d'un standard de l'ingénierie des compétences dans un schéma de base de données relationnelle.</w:t>
      </w:r>
    </w:p>
    <w:p>
      <w:pPr>
        <w:spacing w:after="120"/>
        <w:ind w:firstLine="567"/>
        <w:jc w:val="both"/>
      </w:pPr>
      <w:r>
        <w:rPr>
          <w:rFonts w:ascii="Times New Roman" w:hAnsi="Times New Roman"/>
          <w:sz w:val="24"/>
        </w:rPr>
        <w:t>La hiérarchisation peut également s'effectuer selon l'importance stratégique de la compétence pour l'organisation. On distingue ainsi les compétences stratégiques (indispensables à la performance globale), les compétences secondaires (qui soutiennent les premières) et les compétences accessoires (utiles mais non critiques). Dans RecruitPRO, cette dimension est partiellement capturée par le caractère obligatoire ou optionnel de chaque exigence de poste — une simplification consciente qui constitue une piste d'enrichissement.</w:t>
      </w:r>
    </w:p>
    <w:p>
      <w:pPr>
        <w:pStyle w:val="Heading3"/>
      </w:pPr>
      <w:r>
        <w:rPr>
          <w:rFonts w:ascii="Times New Roman" w:hAnsi="Times New Roman"/>
          <w:b/>
          <w:sz w:val="24"/>
        </w:rPr>
        <w:t>2.1.3 La GPEC : une démarche d'anticipation et de pilotage</w:t>
      </w:r>
    </w:p>
    <w:p>
      <w:pPr>
        <w:spacing w:after="120"/>
        <w:ind w:firstLine="567"/>
        <w:jc w:val="both"/>
      </w:pPr>
      <w:r>
        <w:rPr>
          <w:rFonts w:ascii="Times New Roman" w:hAnsi="Times New Roman"/>
          <w:sz w:val="24"/>
        </w:rPr>
        <w:t>La Gestion Prévisionnelle des Emplois et des Compétences (GPEC) est une démarche de management stratégique des ressources humaines qui vise à anticiper les évolutions des emplois et des compétences, à moyen et long terme, pour réduire les écarts entre les ressources humaines disponibles et les besoins futurs de l'organisation. Elle s'articule autour de quatre temps forts :</w:t>
      </w:r>
    </w:p>
    <w:p>
      <w:pPr>
        <w:pStyle w:val="ListBullet"/>
        <w:ind w:left="567"/>
      </w:pPr>
      <w:r>
        <w:rPr>
          <w:rFonts w:ascii="Times New Roman" w:hAnsi="Times New Roman"/>
          <w:b/>
          <w:sz w:val="24"/>
        </w:rPr>
        <w:t>L'état des lieux</w:t>
      </w:r>
      <w:r>
        <w:rPr>
          <w:rFonts w:ascii="Times New Roman" w:hAnsi="Times New Roman"/>
          <w:sz w:val="24"/>
        </w:rPr>
        <w:t xml:space="preserve"> : cartographie quantitative et qualitative des emplois et des compétences actuellement disponibles dans l'organisation.</w:t>
      </w:r>
    </w:p>
    <w:p>
      <w:pPr>
        <w:pStyle w:val="ListBullet"/>
        <w:ind w:left="567"/>
      </w:pPr>
      <w:r>
        <w:rPr>
          <w:rFonts w:ascii="Times New Roman" w:hAnsi="Times New Roman"/>
          <w:b/>
          <w:sz w:val="24"/>
        </w:rPr>
        <w:t>La projection</w:t>
      </w:r>
      <w:r>
        <w:rPr>
          <w:rFonts w:ascii="Times New Roman" w:hAnsi="Times New Roman"/>
          <w:sz w:val="24"/>
        </w:rPr>
        <w:t xml:space="preserve"> : identification des emplois et des compétences cibles en tenant compte des évolutions stratégiques, technologiques et sectorielles.</w:t>
      </w:r>
    </w:p>
    <w:p>
      <w:pPr>
        <w:pStyle w:val="ListBullet"/>
        <w:ind w:left="567"/>
      </w:pPr>
      <w:r>
        <w:rPr>
          <w:rFonts w:ascii="Times New Roman" w:hAnsi="Times New Roman"/>
          <w:b/>
          <w:sz w:val="24"/>
        </w:rPr>
        <w:t>L'analyse des écarts</w:t>
      </w:r>
      <w:r>
        <w:rPr>
          <w:rFonts w:ascii="Times New Roman" w:hAnsi="Times New Roman"/>
          <w:sz w:val="24"/>
        </w:rPr>
        <w:t xml:space="preserve"> : comparaison entre la situation actuelle et la cible pour identifier les emplois en tension, les compétences à développer et celles à reconvertir.</w:t>
      </w:r>
    </w:p>
    <w:p>
      <w:pPr>
        <w:pStyle w:val="ListBullet"/>
        <w:ind w:left="567"/>
      </w:pPr>
      <w:r>
        <w:rPr>
          <w:rFonts w:ascii="Times New Roman" w:hAnsi="Times New Roman"/>
          <w:b/>
          <w:sz w:val="24"/>
        </w:rPr>
        <w:t>Le plan d'action</w:t>
      </w:r>
      <w:r>
        <w:rPr>
          <w:rFonts w:ascii="Times New Roman" w:hAnsi="Times New Roman"/>
          <w:sz w:val="24"/>
        </w:rPr>
        <w:t xml:space="preserve"> : définition et mise en œuvre des mesures correctives — formation, recrutement, mobilité interne, reconversion — et suivi de leur efficacité.</w:t>
      </w:r>
    </w:p>
    <w:p>
      <w:pPr>
        <w:spacing w:after="120"/>
        <w:ind w:firstLine="567"/>
        <w:jc w:val="both"/>
      </w:pPr>
      <w:r>
        <w:rPr>
          <w:rFonts w:ascii="Times New Roman" w:hAnsi="Times New Roman"/>
          <w:sz w:val="24"/>
        </w:rPr>
        <w:t>Ces quatre temps correspondent exactement aux quatre modules fonctionnels de RecruitPRO : l'état des lieux est assuré par la gestion des profils candidats et employés ; la projection par la définition des postes et de leurs exigences de compétences ; l'analyse des écarts par le moteur de matching ; et le plan d'action par l'articulation entre mobilité interne et formations du LMS. La GPEC n'est pas ici une obligation réglementaire — c'est le cadre méthodologique qui justifie l'architecture du système.</w:t>
      </w:r>
    </w:p>
    <w:p>
      <w:pPr>
        <w:pStyle w:val="Heading3"/>
      </w:pPr>
      <w:r>
        <w:rPr>
          <w:rFonts w:ascii="Times New Roman" w:hAnsi="Times New Roman"/>
          <w:b/>
          <w:sz w:val="24"/>
        </w:rPr>
        <w:t>2.1.4 Le référentiel des métiers : colonne vertébrale d'un système de compétences</w:t>
      </w:r>
    </w:p>
    <w:p>
      <w:pPr>
        <w:spacing w:after="120"/>
        <w:ind w:firstLine="567"/>
        <w:jc w:val="both"/>
      </w:pPr>
      <w:r>
        <w:rPr>
          <w:rFonts w:ascii="Times New Roman" w:hAnsi="Times New Roman"/>
          <w:sz w:val="24"/>
        </w:rPr>
        <w:t>Un référentiel des métiers est un outil structuré qui recense et décrit l'ensemble des métiers et des emplois d'une organisation ou d'un secteur, en précisant pour chacun les missions, activités clés, compétences requises et niveaux de qualification attendus. Il constitue la colonne vertébrale de toute démarche d'ingénierie des compétences : sans référentiel partagé, il n'est pas possible de comparer des profils, d'identifier des écarts ou de recommander des parcours.</w:t>
      </w:r>
    </w:p>
    <w:p>
      <w:pPr>
        <w:spacing w:after="120"/>
        <w:ind w:firstLine="567"/>
        <w:jc w:val="both"/>
      </w:pPr>
      <w:r>
        <w:rPr>
          <w:rFonts w:ascii="Times New Roman" w:hAnsi="Times New Roman"/>
          <w:sz w:val="24"/>
        </w:rPr>
        <w:t>Dans RecruitPRO, ce référentiel est implémenté à deux niveaux complémentaires. Le premier est interne à chaque organisation : la table skills constitue un référentiel de compétences partagé entre tous les acteurs du système (candidats, employés, recruteurs). Le second est externe et normalisé : le ROME (Répertoire Opérationnel des Métiers et des Emplois) de France Travail est intégré comme référentiel métier de référence, permettant d'ancrer les compétences dans une taxonomie professionnelle reconnue et d'établir des proximités entre métiers basées sur des données réelles.</w:t>
      </w:r>
    </w:p>
    <w:p>
      <w:pPr>
        <w:pStyle w:val="Heading3"/>
      </w:pPr>
      <w:r>
        <w:rPr>
          <w:rFonts w:ascii="Times New Roman" w:hAnsi="Times New Roman"/>
          <w:b/>
          <w:sz w:val="24"/>
        </w:rPr>
        <w:t>2.1.5 Le concept de référentiel vivant : l'apport numérique à l'ingénierie des compétences</w:t>
      </w:r>
    </w:p>
    <w:p>
      <w:pPr>
        <w:spacing w:after="120"/>
        <w:ind w:firstLine="567"/>
        <w:jc w:val="both"/>
      </w:pPr>
      <w:r>
        <w:rPr>
          <w:rFonts w:ascii="Times New Roman" w:hAnsi="Times New Roman"/>
          <w:sz w:val="24"/>
        </w:rPr>
        <w:t>Les démarches d'ingénierie des compétences ont longtemps souffert d'un défaut structurel : les référentiels de compétences, une fois construits, vieillissent rapidement. Réalisés lors de projets ponctuels (souvent coûteux en temps et en ressources), ils photographient un état des compétences à un instant T et deviennent progressivement obsolètes au fil des évolutions technologiques, des départs, des formations suivies et des nouvelles recrues intégrées.</w:t>
      </w:r>
    </w:p>
    <w:p>
      <w:pPr>
        <w:spacing w:after="120"/>
        <w:ind w:firstLine="567"/>
        <w:jc w:val="both"/>
      </w:pPr>
      <w:r>
        <w:rPr>
          <w:rFonts w:ascii="Times New Roman" w:hAnsi="Times New Roman"/>
          <w:sz w:val="24"/>
        </w:rPr>
        <w:t>La transformation numérique offre une réponse à ce problème : celle du référentiel vivant. Un référentiel est dit vivant lorsqu'il se met à jour en continu, alimenté par les événements du cycle de vie professionnel de chaque individu — une formation complétée, une nouvelle compétence déclarée, un poste occupé, une mobilité réalisée.</w:t>
      </w:r>
    </w:p>
    <w:p>
      <w:pPr>
        <w:spacing w:before="160" w:after="160"/>
        <w:ind w:left="850" w:right="850"/>
        <w:jc w:val="both"/>
        <w:pBdr>
          <w:left w:val="single" w:sz="12" w:space="12" w:color="2E74B5"/>
        </w:pBdr>
      </w:pPr>
      <w:r>
        <w:rPr>
          <w:rFonts w:ascii="Times New Roman" w:hAnsi="Times New Roman"/>
          <w:b/>
          <w:color w:val="1F497D"/>
          <w:sz w:val="22"/>
        </w:rPr>
        <w:t xml:space="preserve">Problématique centrale — </w:t>
      </w:r>
      <w:r>
        <w:rPr>
          <w:rFonts w:ascii="Times New Roman" w:hAnsi="Times New Roman"/>
          <w:i/>
          <w:sz w:val="22"/>
        </w:rPr>
        <w:t>Comment un système numérique peut-il opérationnaliser un cycle continu d'ingénierie des compétences, en maintenant la cohérence d'un référentiel vivant qui s'enrichit au fil des apprentissages, des mobilités et des recrutements de chaque individu ?</w:t>
      </w:r>
    </w:p>
    <w:p>
      <w:pPr>
        <w:spacing w:after="120"/>
        <w:ind w:firstLine="567"/>
        <w:jc w:val="both"/>
      </w:pPr>
      <w:r>
        <w:rPr>
          <w:rFonts w:ascii="Times New Roman" w:hAnsi="Times New Roman"/>
          <w:sz w:val="24"/>
        </w:rPr>
        <w:t>Cette question structure l'ensemble du projet RecruitPRO. Elle dépasse la simple question de la digitalisation des processus RH pour toucher à un enjeu d'ingénierie des systèmes d'information : comment concevoir une architecture dans laquelle les données de compétences ne sont jamais saisies une seule fois, mais continuellement enrichies par les interactions de chaque acteur avec le système ?</w:t>
      </w:r>
    </w:p>
    <w:p>
      <w:pPr>
        <w:spacing w:after="120"/>
        <w:ind w:firstLine="567"/>
        <w:jc w:val="both"/>
      </w:pPr>
      <w:r>
        <w:rPr>
          <w:rFonts w:ascii="Times New Roman" w:hAnsi="Times New Roman"/>
          <w:sz w:val="24"/>
        </w:rPr>
        <w:t>Trois mécanismes techniques répondent à cette question dans RecruitPRO :</w:t>
      </w:r>
    </w:p>
    <w:p>
      <w:pPr>
        <w:pStyle w:val="ListBullet"/>
        <w:ind w:left="567"/>
      </w:pPr>
      <w:r>
        <w:rPr>
          <w:rFonts w:ascii="Times New Roman" w:hAnsi="Times New Roman"/>
          <w:b/>
          <w:sz w:val="24"/>
        </w:rPr>
        <w:t>La synchronisation LMS → profil</w:t>
      </w:r>
      <w:r>
        <w:rPr>
          <w:rFonts w:ascii="Times New Roman" w:hAnsi="Times New Roman"/>
          <w:sz w:val="24"/>
        </w:rPr>
        <w:t xml:space="preserve"> : lorsqu'un candidat complète une formation dans le LMS, son niveau sur la compétence correspondante est automatiquement mis à jour dans son profil — sans intervention humaine.</w:t>
      </w:r>
    </w:p>
    <w:p>
      <w:pPr>
        <w:pStyle w:val="ListBullet"/>
        <w:ind w:left="567"/>
      </w:pPr>
      <w:r>
        <w:rPr>
          <w:rFonts w:ascii="Times New Roman" w:hAnsi="Times New Roman"/>
          <w:b/>
          <w:sz w:val="24"/>
        </w:rPr>
        <w:t>La portabilité candidat → employé</w:t>
      </w:r>
      <w:r>
        <w:rPr>
          <w:rFonts w:ascii="Times New Roman" w:hAnsi="Times New Roman"/>
          <w:sz w:val="24"/>
        </w:rPr>
        <w:t xml:space="preserve"> : lorsqu'un recruteur accepte un candidat, l'intégralité de son profil (compétences, formations, certifications, expérience) est transférée vers son profil employé — garantissant la continuité du référentiel entre le statut de candidat et celui de collaborateur.</w:t>
      </w:r>
    </w:p>
    <w:p>
      <w:pPr>
        <w:pStyle w:val="ListBullet"/>
        <w:ind w:left="567"/>
      </w:pPr>
      <w:r>
        <w:rPr>
          <w:rFonts w:ascii="Times New Roman" w:hAnsi="Times New Roman"/>
          <w:b/>
          <w:sz w:val="24"/>
        </w:rPr>
        <w:t>L'analyse de profil et les suggestions d'évolution</w:t>
      </w:r>
      <w:r>
        <w:rPr>
          <w:rFonts w:ascii="Times New Roman" w:hAnsi="Times New Roman"/>
          <w:sz w:val="24"/>
        </w:rPr>
        <w:t xml:space="preserve"> : le système analyse les compétences existantes d'un individu par rapport aux profils-types de son domaine métier et suggère les compétences à développer — transformant le référentiel en outil de conseil personnalisé.</w:t>
      </w:r>
    </w:p>
    <w:p>
      <w:pPr>
        <w:pStyle w:val="Heading2"/>
      </w:pPr>
      <w:r>
        <w:rPr>
          <w:rFonts w:ascii="Times New Roman" w:hAnsi="Times New Roman"/>
          <w:color w:val="2E74B5"/>
          <w:sz w:val="28"/>
        </w:rPr>
        <w:t>2.2 Les systèmes numériques existants : des opérationnalisations partielles</w:t>
      </w:r>
    </w:p>
    <w:p>
      <w:pPr>
        <w:spacing w:after="120"/>
        <w:ind w:firstLine="567"/>
        <w:jc w:val="both"/>
      </w:pPr>
      <w:r>
        <w:rPr>
          <w:rFonts w:ascii="Times New Roman" w:hAnsi="Times New Roman"/>
          <w:sz w:val="24"/>
        </w:rPr>
        <w:t>Pour comprendre la contribution de RecruitPRO, il est utile d'examiner comment les systèmes numériques existants opérationnalisent le cycle d'ingénierie des compétences — et où ils s'arrêtent. Le constat est celui d'une fragmentation : chaque catégorie de système couvre un fragment du cycle, sans jamais l'articuler avec les autres.</w:t>
      </w:r>
    </w:p>
    <w:p>
      <w:pPr>
        <w:pStyle w:val="Heading3"/>
      </w:pPr>
      <w:r>
        <w:rPr>
          <w:rFonts w:ascii="Times New Roman" w:hAnsi="Times New Roman"/>
          <w:b/>
          <w:sz w:val="24"/>
        </w:rPr>
        <w:t>2.2.1 Les ATS : l'identification des compétences requises</w:t>
      </w:r>
    </w:p>
    <w:p>
      <w:pPr>
        <w:spacing w:after="120"/>
        <w:ind w:firstLine="567"/>
        <w:jc w:val="both"/>
      </w:pPr>
      <w:r>
        <w:rPr>
          <w:rFonts w:ascii="Times New Roman" w:hAnsi="Times New Roman"/>
          <w:sz w:val="24"/>
        </w:rPr>
        <w:t>Un système de suivi des candidatures (ATS, Applicant Tracking System) couvre le premier temps du cycle d'ingénierie des compétences : l'identification des besoins. Il permet de formaliser les exigences d'un poste, de collecter des candidatures et de filtrer les profils. Les ATS leaders du marché (Workday Recruiting, SAP SuccessFactors Recruiting, Oracle Taleo, Greenhouse) offrent des fonctionnalités avancées de gestion du pipeline de recrutement.</w:t>
      </w:r>
    </w:p>
    <w:p>
      <w:pPr>
        <w:spacing w:after="120"/>
        <w:ind w:firstLine="567"/>
        <w:jc w:val="both"/>
      </w:pPr>
      <w:r>
        <w:rPr>
          <w:rFonts w:ascii="Times New Roman" w:hAnsi="Times New Roman"/>
          <w:sz w:val="24"/>
        </w:rPr>
        <w:t>Mais un ATS s'arrête à la décision de recrutement. Une fois le candidat recruté, il sort du système — et avec lui, toutes les données de profil que le processus de recrutement a permis de collecter. Il n'y a pas de continuité vers l'emploi, vers la formation, vers la mobilité interne. Le référentiel de compétences du candidat est abandonné au moment précis où il devient collaborateur.</w:t>
      </w:r>
    </w:p>
    <w:p>
      <w:pPr>
        <w:pStyle w:val="Heading3"/>
      </w:pPr>
      <w:r>
        <w:rPr>
          <w:rFonts w:ascii="Times New Roman" w:hAnsi="Times New Roman"/>
          <w:b/>
          <w:sz w:val="24"/>
        </w:rPr>
        <w:t>2.2.2 Les LMS : le développement des compétences</w:t>
      </w:r>
    </w:p>
    <w:p>
      <w:pPr>
        <w:spacing w:after="120"/>
        <w:ind w:firstLine="567"/>
        <w:jc w:val="both"/>
      </w:pPr>
      <w:r>
        <w:rPr>
          <w:rFonts w:ascii="Times New Roman" w:hAnsi="Times New Roman"/>
          <w:sz w:val="24"/>
        </w:rPr>
        <w:t>Un système de gestion de la formation (LMS, Learning Management System) couvre un autre fragment du cycle : le développement des compétences par la formation. Les LMS modernes (Moodle, Cornerstone OnDemand, 360Learning, Docebo) permettent de créer des parcours pédagogiques structurés, de suivre la progression des apprenants et de délivrer des certifications.</w:t>
      </w:r>
    </w:p>
    <w:p>
      <w:pPr>
        <w:spacing w:after="120"/>
        <w:ind w:firstLine="567"/>
        <w:jc w:val="both"/>
      </w:pPr>
      <w:r>
        <w:rPr>
          <w:rFonts w:ascii="Times New Roman" w:hAnsi="Times New Roman"/>
          <w:sz w:val="24"/>
        </w:rPr>
        <w:t>Mais un LMS opère en silo. Il sait qu'un apprenant a complété un cours, mais cette information ne remonte pas automatiquement vers un profil de compétences partagé avec les autres systèmes RH. Le développement de la compétence est tracé dans le LMS ; son impact sur l'employabilité ou la mobilité interne reste invisible pour les équipes RH et pour l'individu lui-même.</w:t>
      </w:r>
    </w:p>
    <w:p>
      <w:pPr>
        <w:pStyle w:val="Heading3"/>
      </w:pPr>
      <w:r>
        <w:rPr>
          <w:rFonts w:ascii="Times New Roman" w:hAnsi="Times New Roman"/>
          <w:b/>
          <w:sz w:val="24"/>
        </w:rPr>
        <w:t>2.2.3 Les SIRH intégrés : une intégration de surface</w:t>
      </w:r>
    </w:p>
    <w:p>
      <w:pPr>
        <w:spacing w:after="120"/>
        <w:ind w:firstLine="567"/>
        <w:jc w:val="both"/>
      </w:pPr>
      <w:r>
        <w:rPr>
          <w:rFonts w:ascii="Times New Roman" w:hAnsi="Times New Roman"/>
          <w:sz w:val="24"/>
        </w:rPr>
        <w:t>Les suites SIRH intégrées (SAP SuccessFactors, Oracle HCM Cloud, Workday) tentent de regrouper l'ensemble des fonctions RH dans un seul système. En apparence, elles semblent répondre au problème de fragmentation. En pratique, leur intégration reste souvent de surface : les modules sont connectés sur le plan technique (SSO, base de données partagée), mais la logique de compétences ne circule pas librement entre eux. Le profil du candidat dans le module ATS n'est pas le même objet que le profil de l'employé dans le module Talent Management.</w:t>
      </w:r>
    </w:p>
    <w:p>
      <w:pPr>
        <w:spacing w:after="120"/>
        <w:ind w:firstLine="567"/>
        <w:jc w:val="both"/>
      </w:pPr>
      <w:r>
        <w:rPr>
          <w:rFonts w:ascii="Times New Roman" w:hAnsi="Times New Roman"/>
          <w:sz w:val="24"/>
        </w:rPr>
        <w:t>Par ailleurs, ces suites sont conçues pour des grandes entreprises du secteur privé, avec des modèles de données génériques et des coûts de licence élevés. Elles ne sont pas adaptées aux spécificités d'un organisme comme l'IFDC/ONCF, dont les métiers sont très particuliers et dont les processus de développement des compétences sont au cœur de la mission institutionnelle.</w:t>
      </w:r>
    </w:p>
    <w:p>
      <w:pPr>
        <w:pStyle w:val="Heading3"/>
      </w:pPr>
      <w:r>
        <w:rPr>
          <w:rFonts w:ascii="Times New Roman" w:hAnsi="Times New Roman"/>
          <w:b/>
          <w:sz w:val="24"/>
        </w:rPr>
        <w:t>2.2.4 Synthèse : la fracture du cycle</w:t>
      </w:r>
    </w:p>
    <w:p>
      <w:pPr>
        <w:spacing w:after="120"/>
        <w:ind w:firstLine="567"/>
        <w:jc w:val="both"/>
      </w:pPr>
      <w:r>
        <w:rPr>
          <w:rFonts w:ascii="Times New Roman" w:hAnsi="Times New Roman"/>
          <w:sz w:val="24"/>
        </w:rPr>
        <w:t>Le tableau ci-dessous synthétise la couverture de chaque catégorie de système sur le cycle d'ingénierie des compétences :</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497D"/>
          </w:tcPr>
          <w:p>
            <w:pPr>
              <w:jc w:val="center"/>
            </w:pPr>
            <w:r>
              <w:rPr>
                <w:rFonts w:ascii="Times New Roman" w:hAnsi="Times New Roman"/>
                <w:b/>
                <w:color w:val="FFFFFF"/>
                <w:sz w:val="22"/>
              </w:rPr>
              <w:t>Phase du cycle</w:t>
            </w:r>
          </w:p>
        </w:tc>
        <w:tc>
          <w:tcPr>
            <w:tcW w:type="dxa" w:w="1824"/>
            <w:shd w:val="clear" w:color="auto" w:fill="1F497D"/>
          </w:tcPr>
          <w:p>
            <w:pPr>
              <w:jc w:val="center"/>
            </w:pPr>
            <w:r>
              <w:rPr>
                <w:rFonts w:ascii="Times New Roman" w:hAnsi="Times New Roman"/>
                <w:b/>
                <w:color w:val="FFFFFF"/>
                <w:sz w:val="22"/>
              </w:rPr>
              <w:t>ATS</w:t>
            </w:r>
          </w:p>
        </w:tc>
        <w:tc>
          <w:tcPr>
            <w:tcW w:type="dxa" w:w="1824"/>
            <w:shd w:val="clear" w:color="auto" w:fill="1F497D"/>
          </w:tcPr>
          <w:p>
            <w:pPr>
              <w:jc w:val="center"/>
            </w:pPr>
            <w:r>
              <w:rPr>
                <w:rFonts w:ascii="Times New Roman" w:hAnsi="Times New Roman"/>
                <w:b/>
                <w:color w:val="FFFFFF"/>
                <w:sz w:val="22"/>
              </w:rPr>
              <w:t>LMS</w:t>
            </w:r>
          </w:p>
        </w:tc>
        <w:tc>
          <w:tcPr>
            <w:tcW w:type="dxa" w:w="1824"/>
            <w:shd w:val="clear" w:color="auto" w:fill="1F497D"/>
          </w:tcPr>
          <w:p>
            <w:pPr>
              <w:jc w:val="center"/>
            </w:pPr>
            <w:r>
              <w:rPr>
                <w:rFonts w:ascii="Times New Roman" w:hAnsi="Times New Roman"/>
                <w:b/>
                <w:color w:val="FFFFFF"/>
                <w:sz w:val="22"/>
              </w:rPr>
              <w:t>SIRH intégré</w:t>
            </w:r>
          </w:p>
        </w:tc>
        <w:tc>
          <w:tcPr>
            <w:tcW w:type="dxa" w:w="1824"/>
            <w:shd w:val="clear" w:color="auto" w:fill="1F497D"/>
          </w:tcPr>
          <w:p>
            <w:pPr>
              <w:jc w:val="center"/>
            </w:pPr>
            <w:r>
              <w:rPr>
                <w:rFonts w:ascii="Times New Roman" w:hAnsi="Times New Roman"/>
                <w:b/>
                <w:color w:val="FFFFFF"/>
                <w:sz w:val="22"/>
              </w:rPr>
              <w:t>RecruitPRO</w:t>
            </w:r>
          </w:p>
        </w:tc>
      </w:tr>
      <w:tr>
        <w:tc>
          <w:tcPr>
            <w:tcW w:type="dxa" w:w="1824"/>
          </w:tcPr>
          <w:p>
            <w:r>
              <w:rPr>
                <w:rFonts w:ascii="Times New Roman" w:hAnsi="Times New Roman"/>
                <w:sz w:val="22"/>
              </w:rPr>
              <w:t>État des lieux des compétences</w:t>
            </w:r>
          </w:p>
        </w:tc>
        <w:tc>
          <w:tcPr>
            <w:tcW w:type="dxa" w:w="1824"/>
          </w:tcPr>
          <w:p>
            <w:r>
              <w:rPr>
                <w:rFonts w:ascii="Times New Roman" w:hAnsi="Times New Roman"/>
                <w:sz w:val="22"/>
              </w:rPr>
              <w:t>Partiel (candidats)</w:t>
            </w:r>
          </w:p>
        </w:tc>
        <w:tc>
          <w:tcPr>
            <w:tcW w:type="dxa" w:w="1824"/>
          </w:tcPr>
          <w:p>
            <w:r>
              <w:rPr>
                <w:rFonts w:ascii="Times New Roman" w:hAnsi="Times New Roman"/>
                <w:sz w:val="22"/>
              </w:rPr>
              <w:t>Non</w:t>
            </w:r>
          </w:p>
        </w:tc>
        <w:tc>
          <w:tcPr>
            <w:tcW w:type="dxa" w:w="1824"/>
          </w:tcPr>
          <w:p>
            <w:r>
              <w:rPr>
                <w:rFonts w:ascii="Times New Roman" w:hAnsi="Times New Roman"/>
                <w:sz w:val="22"/>
              </w:rPr>
              <w:t>Partiel (employés)</w:t>
            </w:r>
          </w:p>
        </w:tc>
        <w:tc>
          <w:tcPr>
            <w:tcW w:type="dxa" w:w="1824"/>
          </w:tcPr>
          <w:p>
            <w:r>
              <w:rPr>
                <w:rFonts w:ascii="Times New Roman" w:hAnsi="Times New Roman"/>
                <w:sz w:val="22"/>
              </w:rPr>
              <w:t>Oui (candidats + employés)</w:t>
            </w:r>
          </w:p>
        </w:tc>
      </w:tr>
      <w:tr>
        <w:tc>
          <w:tcPr>
            <w:tcW w:type="dxa" w:w="1824"/>
          </w:tcPr>
          <w:p>
            <w:r>
              <w:rPr>
                <w:rFonts w:ascii="Times New Roman" w:hAnsi="Times New Roman"/>
                <w:sz w:val="22"/>
              </w:rPr>
              <w:t>Identification des besoins futurs</w:t>
            </w:r>
          </w:p>
        </w:tc>
        <w:tc>
          <w:tcPr>
            <w:tcW w:type="dxa" w:w="1824"/>
          </w:tcPr>
          <w:p>
            <w:r>
              <w:rPr>
                <w:rFonts w:ascii="Times New Roman" w:hAnsi="Times New Roman"/>
                <w:sz w:val="22"/>
              </w:rPr>
              <w:t>Oui (offres d'emploi)</w:t>
            </w:r>
          </w:p>
        </w:tc>
        <w:tc>
          <w:tcPr>
            <w:tcW w:type="dxa" w:w="1824"/>
          </w:tcPr>
          <w:p>
            <w:r>
              <w:rPr>
                <w:rFonts w:ascii="Times New Roman" w:hAnsi="Times New Roman"/>
                <w:sz w:val="22"/>
              </w:rPr>
              <w:t>Non</w:t>
            </w:r>
          </w:p>
        </w:tc>
        <w:tc>
          <w:tcPr>
            <w:tcW w:type="dxa" w:w="1824"/>
          </w:tcPr>
          <w:p>
            <w:r>
              <w:rPr>
                <w:rFonts w:ascii="Times New Roman" w:hAnsi="Times New Roman"/>
                <w:sz w:val="22"/>
              </w:rPr>
              <w:t>Partiel</w:t>
            </w:r>
          </w:p>
        </w:tc>
        <w:tc>
          <w:tcPr>
            <w:tcW w:type="dxa" w:w="1824"/>
          </w:tcPr>
          <w:p>
            <w:r>
              <w:rPr>
                <w:rFonts w:ascii="Times New Roman" w:hAnsi="Times New Roman"/>
                <w:sz w:val="22"/>
              </w:rPr>
              <w:t>Oui</w:t>
            </w:r>
          </w:p>
        </w:tc>
      </w:tr>
      <w:tr>
        <w:tc>
          <w:tcPr>
            <w:tcW w:type="dxa" w:w="1824"/>
          </w:tcPr>
          <w:p>
            <w:r>
              <w:rPr>
                <w:rFonts w:ascii="Times New Roman" w:hAnsi="Times New Roman"/>
                <w:sz w:val="22"/>
              </w:rPr>
              <w:t>Analyse des écarts (gap analysis)</w:t>
            </w:r>
          </w:p>
        </w:tc>
        <w:tc>
          <w:tcPr>
            <w:tcW w:type="dxa" w:w="1824"/>
          </w:tcPr>
          <w:p>
            <w:r>
              <w:rPr>
                <w:rFonts w:ascii="Times New Roman" w:hAnsi="Times New Roman"/>
                <w:sz w:val="22"/>
              </w:rPr>
              <w:t>Rarement</w:t>
            </w:r>
          </w:p>
        </w:tc>
        <w:tc>
          <w:tcPr>
            <w:tcW w:type="dxa" w:w="1824"/>
          </w:tcPr>
          <w:p>
            <w:r>
              <w:rPr>
                <w:rFonts w:ascii="Times New Roman" w:hAnsi="Times New Roman"/>
                <w:sz w:val="22"/>
              </w:rPr>
              <w:t>Non</w:t>
            </w:r>
          </w:p>
        </w:tc>
        <w:tc>
          <w:tcPr>
            <w:tcW w:type="dxa" w:w="1824"/>
          </w:tcPr>
          <w:p>
            <w:r>
              <w:rPr>
                <w:rFonts w:ascii="Times New Roman" w:hAnsi="Times New Roman"/>
                <w:sz w:val="22"/>
              </w:rPr>
              <w:t>Partiel</w:t>
            </w:r>
          </w:p>
        </w:tc>
        <w:tc>
          <w:tcPr>
            <w:tcW w:type="dxa" w:w="1824"/>
          </w:tcPr>
          <w:p>
            <w:r>
              <w:rPr>
                <w:rFonts w:ascii="Times New Roman" w:hAnsi="Times New Roman"/>
                <w:sz w:val="22"/>
              </w:rPr>
              <w:t>Oui (moteur de matching)</w:t>
            </w:r>
          </w:p>
        </w:tc>
      </w:tr>
      <w:tr>
        <w:tc>
          <w:tcPr>
            <w:tcW w:type="dxa" w:w="1824"/>
          </w:tcPr>
          <w:p>
            <w:r>
              <w:rPr>
                <w:rFonts w:ascii="Times New Roman" w:hAnsi="Times New Roman"/>
                <w:sz w:val="22"/>
              </w:rPr>
              <w:t>Plan de développement (formation)</w:t>
            </w:r>
          </w:p>
        </w:tc>
        <w:tc>
          <w:tcPr>
            <w:tcW w:type="dxa" w:w="1824"/>
          </w:tcPr>
          <w:p>
            <w:r>
              <w:rPr>
                <w:rFonts w:ascii="Times New Roman" w:hAnsi="Times New Roman"/>
                <w:sz w:val="22"/>
              </w:rPr>
              <w:t>Non</w:t>
            </w:r>
          </w:p>
        </w:tc>
        <w:tc>
          <w:tcPr>
            <w:tcW w:type="dxa" w:w="1824"/>
          </w:tcPr>
          <w:p>
            <w:r>
              <w:rPr>
                <w:rFonts w:ascii="Times New Roman" w:hAnsi="Times New Roman"/>
                <w:sz w:val="22"/>
              </w:rPr>
              <w:t>Oui</w:t>
            </w:r>
          </w:p>
        </w:tc>
        <w:tc>
          <w:tcPr>
            <w:tcW w:type="dxa" w:w="1824"/>
          </w:tcPr>
          <w:p>
            <w:r>
              <w:rPr>
                <w:rFonts w:ascii="Times New Roman" w:hAnsi="Times New Roman"/>
                <w:sz w:val="22"/>
              </w:rPr>
              <w:t>Partiel</w:t>
            </w:r>
          </w:p>
        </w:tc>
        <w:tc>
          <w:tcPr>
            <w:tcW w:type="dxa" w:w="1824"/>
          </w:tcPr>
          <w:p>
            <w:r>
              <w:rPr>
                <w:rFonts w:ascii="Times New Roman" w:hAnsi="Times New Roman"/>
                <w:sz w:val="22"/>
              </w:rPr>
              <w:t>Oui (LMS intégré)</w:t>
            </w:r>
          </w:p>
        </w:tc>
      </w:tr>
      <w:tr>
        <w:tc>
          <w:tcPr>
            <w:tcW w:type="dxa" w:w="1824"/>
          </w:tcPr>
          <w:p>
            <w:r>
              <w:rPr>
                <w:rFonts w:ascii="Times New Roman" w:hAnsi="Times New Roman"/>
                <w:sz w:val="22"/>
              </w:rPr>
              <w:t>Mobilité interne</w:t>
            </w:r>
          </w:p>
        </w:tc>
        <w:tc>
          <w:tcPr>
            <w:tcW w:type="dxa" w:w="1824"/>
          </w:tcPr>
          <w:p>
            <w:r>
              <w:rPr>
                <w:rFonts w:ascii="Times New Roman" w:hAnsi="Times New Roman"/>
                <w:sz w:val="22"/>
              </w:rPr>
              <w:t>Non</w:t>
            </w:r>
          </w:p>
        </w:tc>
        <w:tc>
          <w:tcPr>
            <w:tcW w:type="dxa" w:w="1824"/>
          </w:tcPr>
          <w:p>
            <w:r>
              <w:rPr>
                <w:rFonts w:ascii="Times New Roman" w:hAnsi="Times New Roman"/>
                <w:sz w:val="22"/>
              </w:rPr>
              <w:t>Non</w:t>
            </w:r>
          </w:p>
        </w:tc>
        <w:tc>
          <w:tcPr>
            <w:tcW w:type="dxa" w:w="1824"/>
          </w:tcPr>
          <w:p>
            <w:r>
              <w:rPr>
                <w:rFonts w:ascii="Times New Roman" w:hAnsi="Times New Roman"/>
                <w:sz w:val="22"/>
              </w:rPr>
              <w:t>Partiel</w:t>
            </w:r>
          </w:p>
        </w:tc>
        <w:tc>
          <w:tcPr>
            <w:tcW w:type="dxa" w:w="1824"/>
          </w:tcPr>
          <w:p>
            <w:r>
              <w:rPr>
                <w:rFonts w:ascii="Times New Roman" w:hAnsi="Times New Roman"/>
                <w:sz w:val="22"/>
              </w:rPr>
              <w:t>Oui</w:t>
            </w:r>
          </w:p>
        </w:tc>
      </w:tr>
      <w:tr>
        <w:tc>
          <w:tcPr>
            <w:tcW w:type="dxa" w:w="1824"/>
          </w:tcPr>
          <w:p>
            <w:r>
              <w:rPr>
                <w:rFonts w:ascii="Times New Roman" w:hAnsi="Times New Roman"/>
                <w:sz w:val="22"/>
              </w:rPr>
              <w:t>Mise à jour automatique du référentiel</w:t>
            </w:r>
          </w:p>
        </w:tc>
        <w:tc>
          <w:tcPr>
            <w:tcW w:type="dxa" w:w="1824"/>
          </w:tcPr>
          <w:p>
            <w:r>
              <w:rPr>
                <w:rFonts w:ascii="Times New Roman" w:hAnsi="Times New Roman"/>
                <w:sz w:val="22"/>
              </w:rPr>
              <w:t>Non</w:t>
            </w:r>
          </w:p>
        </w:tc>
        <w:tc>
          <w:tcPr>
            <w:tcW w:type="dxa" w:w="1824"/>
          </w:tcPr>
          <w:p>
            <w:r>
              <w:rPr>
                <w:rFonts w:ascii="Times New Roman" w:hAnsi="Times New Roman"/>
                <w:sz w:val="22"/>
              </w:rPr>
              <w:t>Non</w:t>
            </w:r>
          </w:p>
        </w:tc>
        <w:tc>
          <w:tcPr>
            <w:tcW w:type="dxa" w:w="1824"/>
          </w:tcPr>
          <w:p>
            <w:r>
              <w:rPr>
                <w:rFonts w:ascii="Times New Roman" w:hAnsi="Times New Roman"/>
                <w:sz w:val="22"/>
              </w:rPr>
              <w:t>Non</w:t>
            </w:r>
          </w:p>
        </w:tc>
        <w:tc>
          <w:tcPr>
            <w:tcW w:type="dxa" w:w="1824"/>
          </w:tcPr>
          <w:p>
            <w:r>
              <w:rPr>
                <w:rFonts w:ascii="Times New Roman" w:hAnsi="Times New Roman"/>
                <w:sz w:val="22"/>
              </w:rPr>
              <w:t>Oui (référentiel vivant)</w:t>
            </w:r>
          </w:p>
        </w:tc>
      </w:tr>
      <w:tr>
        <w:tc>
          <w:tcPr>
            <w:tcW w:type="dxa" w:w="1824"/>
          </w:tcPr>
          <w:p>
            <w:r>
              <w:rPr>
                <w:rFonts w:ascii="Times New Roman" w:hAnsi="Times New Roman"/>
                <w:sz w:val="22"/>
              </w:rPr>
              <w:t>Continuité candidat → employé</w:t>
            </w:r>
          </w:p>
        </w:tc>
        <w:tc>
          <w:tcPr>
            <w:tcW w:type="dxa" w:w="1824"/>
          </w:tcPr>
          <w:p>
            <w:r>
              <w:rPr>
                <w:rFonts w:ascii="Times New Roman" w:hAnsi="Times New Roman"/>
                <w:sz w:val="22"/>
              </w:rPr>
              <w:t>Non</w:t>
            </w:r>
          </w:p>
        </w:tc>
        <w:tc>
          <w:tcPr>
            <w:tcW w:type="dxa" w:w="1824"/>
          </w:tcPr>
          <w:p>
            <w:r>
              <w:rPr>
                <w:rFonts w:ascii="Times New Roman" w:hAnsi="Times New Roman"/>
                <w:sz w:val="22"/>
              </w:rPr>
              <w:t>Non</w:t>
            </w:r>
          </w:p>
        </w:tc>
        <w:tc>
          <w:tcPr>
            <w:tcW w:type="dxa" w:w="1824"/>
          </w:tcPr>
          <w:p>
            <w:r>
              <w:rPr>
                <w:rFonts w:ascii="Times New Roman" w:hAnsi="Times New Roman"/>
                <w:sz w:val="22"/>
              </w:rPr>
              <w:t>Non</w:t>
            </w:r>
          </w:p>
        </w:tc>
        <w:tc>
          <w:tcPr>
            <w:tcW w:type="dxa" w:w="1824"/>
          </w:tcPr>
          <w:p>
            <w:r>
              <w:rPr>
                <w:rFonts w:ascii="Times New Roman" w:hAnsi="Times New Roman"/>
                <w:sz w:val="22"/>
              </w:rPr>
              <w:t>Oui (portabilité du profil)</w:t>
            </w:r>
          </w:p>
        </w:tc>
      </w:tr>
      <w:tr>
        <w:tc>
          <w:tcPr>
            <w:tcW w:type="dxa" w:w="1824"/>
          </w:tcPr>
          <w:p>
            <w:r>
              <w:rPr>
                <w:rFonts w:ascii="Times New Roman" w:hAnsi="Times New Roman"/>
                <w:sz w:val="22"/>
              </w:rPr>
              <w:t>Suggestions d'évolution personnalisées</w:t>
            </w:r>
          </w:p>
        </w:tc>
        <w:tc>
          <w:tcPr>
            <w:tcW w:type="dxa" w:w="1824"/>
          </w:tcPr>
          <w:p>
            <w:r>
              <w:rPr>
                <w:rFonts w:ascii="Times New Roman" w:hAnsi="Times New Roman"/>
                <w:sz w:val="22"/>
              </w:rPr>
              <w:t>Non</w:t>
            </w:r>
          </w:p>
        </w:tc>
        <w:tc>
          <w:tcPr>
            <w:tcW w:type="dxa" w:w="1824"/>
          </w:tcPr>
          <w:p>
            <w:r>
              <w:rPr>
                <w:rFonts w:ascii="Times New Roman" w:hAnsi="Times New Roman"/>
                <w:sz w:val="22"/>
              </w:rPr>
              <w:t>Non</w:t>
            </w:r>
          </w:p>
        </w:tc>
        <w:tc>
          <w:tcPr>
            <w:tcW w:type="dxa" w:w="1824"/>
          </w:tcPr>
          <w:p>
            <w:r>
              <w:rPr>
                <w:rFonts w:ascii="Times New Roman" w:hAnsi="Times New Roman"/>
                <w:sz w:val="22"/>
              </w:rPr>
              <w:t>Rare</w:t>
            </w:r>
          </w:p>
        </w:tc>
        <w:tc>
          <w:tcPr>
            <w:tcW w:type="dxa" w:w="1824"/>
          </w:tcPr>
          <w:p>
            <w:r>
              <w:rPr>
                <w:rFonts w:ascii="Times New Roman" w:hAnsi="Times New Roman"/>
                <w:sz w:val="22"/>
              </w:rPr>
              <w:t>Oui (analyse de profil)</w:t>
            </w:r>
          </w:p>
        </w:tc>
      </w:tr>
    </w:tbl>
    <w:p>
      <w:pPr>
        <w:spacing w:after="120"/>
        <w:ind w:firstLine="567"/>
        <w:jc w:val="both"/>
      </w:pPr>
      <w:r>
        <w:rPr>
          <w:rFonts w:ascii="Times New Roman" w:hAnsi="Times New Roman"/>
          <w:sz w:val="24"/>
        </w:rPr>
        <w:t>Cette analyse révèle que la contribution originale de RecruitPRO n'est pas d'être « un ATS avec un LMS dedans ». C'est de fermer le cycle d'ingénierie des compétences de bout en bout, en maintenant la cohérence d'un référentiel vivant à travers tous les moments de ce cycle.</w:t>
      </w:r>
    </w:p>
    <w:p>
      <w:pPr>
        <w:pStyle w:val="Heading2"/>
      </w:pPr>
      <w:r>
        <w:rPr>
          <w:rFonts w:ascii="Times New Roman" w:hAnsi="Times New Roman"/>
          <w:color w:val="2E74B5"/>
          <w:sz w:val="28"/>
        </w:rPr>
        <w:t>2.3 Le matching algorithmique comme opérationnalisation de la gap analysis</w:t>
      </w:r>
    </w:p>
    <w:p>
      <w:pPr>
        <w:pStyle w:val="Heading3"/>
      </w:pPr>
      <w:r>
        <w:rPr>
          <w:rFonts w:ascii="Times New Roman" w:hAnsi="Times New Roman"/>
          <w:b/>
          <w:sz w:val="24"/>
        </w:rPr>
        <w:t>2.3.1 De la gap analysis au score de matching</w:t>
      </w:r>
    </w:p>
    <w:p>
      <w:pPr>
        <w:spacing w:after="120"/>
        <w:ind w:firstLine="567"/>
        <w:jc w:val="both"/>
      </w:pPr>
      <w:r>
        <w:rPr>
          <w:rFonts w:ascii="Times New Roman" w:hAnsi="Times New Roman"/>
          <w:sz w:val="24"/>
        </w:rPr>
        <w:t>L'analyse des écarts de compétences (skill gap analysis) est, on l'a vu, l'une des étapes clés de la démarche GPEC. Elle consiste à mesurer, pour chaque individu et chaque poste, la distance entre les compétences disponibles et les compétences requises. Dans les démarches traditionnelles, cette analyse est conduite manuellement, périodiquement, par les équipes RH ou les managers.</w:t>
      </w:r>
    </w:p>
    <w:p>
      <w:pPr>
        <w:spacing w:after="120"/>
        <w:ind w:firstLine="567"/>
        <w:jc w:val="both"/>
      </w:pPr>
      <w:r>
        <w:rPr>
          <w:rFonts w:ascii="Times New Roman" w:hAnsi="Times New Roman"/>
          <w:sz w:val="24"/>
        </w:rPr>
        <w:t>Le moteur de matching de RecruitPRO automatise cette analyse et la rend instantanée. Pour chaque couple (candidat, offre d'emploi), il calcule deux scores complémentaires qui correspondent aux deux dimensions fondamentales de l'évaluation d'un profil :</w:t>
      </w:r>
    </w:p>
    <w:p>
      <w:pPr>
        <w:pStyle w:val="ListBullet"/>
        <w:ind w:left="567"/>
      </w:pPr>
      <w:r>
        <w:rPr>
          <w:rFonts w:ascii="Times New Roman" w:hAnsi="Times New Roman"/>
          <w:b/>
          <w:sz w:val="24"/>
        </w:rPr>
        <w:t>Le score de fit</w:t>
      </w:r>
      <w:r>
        <w:rPr>
          <w:rFonts w:ascii="Times New Roman" w:hAnsi="Times New Roman"/>
          <w:sz w:val="24"/>
        </w:rPr>
        <w:t xml:space="preserve"> : mesure l'adéquation entre les compétences actuelles du candidat et les exigences du poste. Il répond à la question « ce candidat peut-il occuper ce poste aujourd'hui ? » — c'est la dimension savoir-agir.</w:t>
      </w:r>
    </w:p>
    <w:p>
      <w:pPr>
        <w:pStyle w:val="ListBullet"/>
        <w:ind w:left="567"/>
      </w:pPr>
      <w:r>
        <w:rPr>
          <w:rFonts w:ascii="Times New Roman" w:hAnsi="Times New Roman"/>
          <w:b/>
          <w:sz w:val="24"/>
        </w:rPr>
        <w:t>Le score de potentiel</w:t>
      </w:r>
      <w:r>
        <w:rPr>
          <w:rFonts w:ascii="Times New Roman" w:hAnsi="Times New Roman"/>
          <w:sz w:val="24"/>
        </w:rPr>
        <w:t xml:space="preserve"> : mesure la capacité du candidat à combler ses lacunes par la formation ou l'expérience, en s'appuyant sur la proximité entre son domaine de compétences actuel et le domaine cible. Il répond à la question « ce candidat peut-il y arriver avec du développement ? » — c'est la dimension savoir-évoluer.</w:t>
      </w:r>
    </w:p>
    <w:p>
      <w:pPr>
        <w:spacing w:after="120"/>
        <w:ind w:firstLine="567"/>
        <w:jc w:val="both"/>
      </w:pPr>
      <w:r>
        <w:rPr>
          <w:rFonts w:ascii="Times New Roman" w:hAnsi="Times New Roman"/>
          <w:sz w:val="24"/>
        </w:rPr>
        <w:t>Cette dualité fit/potentiel est directement issue de la théorie de la compétence : elle distingue la compétence acquise (ce que l'individu sait faire) de la capacité d'apprentissage (ce qu'il pourrait savoir faire). Un recruteur qui n'utilise que le fit rate les profils à fort potentiel ; un recruteur qui n'utilise que le potentiel prend des risques sur l'opérationnel immédiat. La combinaison des deux permet une décision éclairée.</w:t>
      </w:r>
    </w:p>
    <w:p>
      <w:pPr>
        <w:pStyle w:val="Heading3"/>
      </w:pPr>
      <w:r>
        <w:rPr>
          <w:rFonts w:ascii="Times New Roman" w:hAnsi="Times New Roman"/>
          <w:b/>
          <w:sz w:val="24"/>
        </w:rPr>
        <w:t>2.3.2 Les approches algorithmiques de matching</w:t>
      </w:r>
    </w:p>
    <w:p>
      <w:pPr>
        <w:spacing w:after="120"/>
        <w:ind w:firstLine="567"/>
        <w:jc w:val="both"/>
      </w:pPr>
      <w:r>
        <w:rPr>
          <w:rFonts w:ascii="Times New Roman" w:hAnsi="Times New Roman"/>
          <w:sz w:val="24"/>
        </w:rPr>
        <w:t>Trois grandes familles de méthodes algorithmiques existent pour le matching compétences-postes :</w:t>
      </w:r>
    </w:p>
    <w:p>
      <w:pPr>
        <w:pStyle w:val="ListBullet"/>
        <w:ind w:left="567"/>
      </w:pPr>
      <w:r>
        <w:rPr>
          <w:rFonts w:ascii="Times New Roman" w:hAnsi="Times New Roman"/>
          <w:b/>
          <w:sz w:val="24"/>
        </w:rPr>
        <w:t>Approche par règles (rule-based)</w:t>
      </w:r>
      <w:r>
        <w:rPr>
          <w:rFonts w:ascii="Times New Roman" w:hAnsi="Times New Roman"/>
          <w:sz w:val="24"/>
        </w:rPr>
        <w:t xml:space="preserve"> : critères et pondérations définis explicitement par des experts métier. Transparente, auditable, mais nécessite une expertise pour le paramétrage. C'est l'approche adoptée dans RecruitPRO, adaptée au contexte d'une organisation publique où l'explicabilité des décisions est un prérequis.</w:t>
      </w:r>
    </w:p>
    <w:p>
      <w:pPr>
        <w:pStyle w:val="ListBullet"/>
        <w:ind w:left="567"/>
      </w:pPr>
      <w:r>
        <w:rPr>
          <w:rFonts w:ascii="Times New Roman" w:hAnsi="Times New Roman"/>
          <w:b/>
          <w:sz w:val="24"/>
        </w:rPr>
        <w:t>Approche NLP (traitement du langage naturel)</w:t>
      </w:r>
      <w:r>
        <w:rPr>
          <w:rFonts w:ascii="Times New Roman" w:hAnsi="Times New Roman"/>
          <w:sz w:val="24"/>
        </w:rPr>
        <w:t xml:space="preserve"> : analyse sémantique du texte des CV et des offres pour extraire compétences et entités. Puissante sur les données non structurées, mais nécessite des volumes importants et manque de transparence (boîte noire). Perspective d'enrichissement futur.</w:t>
      </w:r>
    </w:p>
    <w:p>
      <w:pPr>
        <w:pStyle w:val="ListBullet"/>
        <w:ind w:left="567"/>
      </w:pPr>
      <w:r>
        <w:rPr>
          <w:rFonts w:ascii="Times New Roman" w:hAnsi="Times New Roman"/>
          <w:b/>
          <w:sz w:val="24"/>
        </w:rPr>
        <w:t>Approche hybride</w:t>
      </w:r>
      <w:r>
        <w:rPr>
          <w:rFonts w:ascii="Times New Roman" w:hAnsi="Times New Roman"/>
          <w:sz w:val="24"/>
        </w:rPr>
        <w:t xml:space="preserve"> : combine l'extraction NLP et les règles métier. État de l'art des ATS modernes (LinkedIn Recruiter, Eightfold AI). Complexité et coût élevés.</w:t>
      </w:r>
    </w:p>
    <w:p>
      <w:pPr>
        <w:pStyle w:val="Heading3"/>
      </w:pPr>
      <w:r>
        <w:rPr>
          <w:rFonts w:ascii="Times New Roman" w:hAnsi="Times New Roman"/>
          <w:b/>
          <w:sz w:val="24"/>
        </w:rPr>
        <w:t>2.3.3 Le ROME comme référentiel d'adjacence métier</w:t>
      </w:r>
    </w:p>
    <w:p>
      <w:pPr>
        <w:spacing w:after="120"/>
        <w:ind w:firstLine="567"/>
        <w:jc w:val="both"/>
      </w:pPr>
      <w:r>
        <w:rPr>
          <w:rFonts w:ascii="Times New Roman" w:hAnsi="Times New Roman"/>
          <w:sz w:val="24"/>
        </w:rPr>
        <w:t>Le Répertoire Opérationnel des Métiers et des Emplois (ROME) de France Travail est un référentiel structuré qui organise plus de 500 fiches métiers en domaines professionnels hiérarchisés. Sa richesse va bien au-delà d'une simple taxonomie : chaque fiche métier contient les compétences typiques du métier, les appellations d'emploi alternatives et les passerelles de mobilité vers d'autres métiers voisins.</w:t>
      </w:r>
    </w:p>
    <w:p>
      <w:pPr>
        <w:spacing w:after="120"/>
        <w:ind w:firstLine="567"/>
        <w:jc w:val="both"/>
      </w:pPr>
      <w:r>
        <w:rPr>
          <w:rFonts w:ascii="Times New Roman" w:hAnsi="Times New Roman"/>
          <w:sz w:val="24"/>
        </w:rPr>
        <w:t>Dans RecruitPRO, le ROME joue un double rôle. D'une part, il fournit le référentiel d'adjacence utilisé pour calculer le score de potentiel : deux métiers du même sous-domaine ROME sont considérés comme proches (score 1.0), du même domaine (0.6), ou éloignés (0.3). D'autre part, il est la source des suggestions de compétences dans la fonctionnalité d'analyse de profil : pour chaque domaine métier du candidat, le système interroge le ROME pour identifier les compétences typiques que le candidat ne possède pas encore.</w:t>
      </w:r>
    </w:p>
    <w:p>
      <w:pPr>
        <w:spacing w:after="120"/>
        <w:ind w:firstLine="567"/>
        <w:jc w:val="both"/>
      </w:pPr>
      <w:r>
        <w:rPr>
          <w:rFonts w:ascii="Times New Roman" w:hAnsi="Times New Roman"/>
          <w:sz w:val="24"/>
        </w:rPr>
        <w:t>Il convient d'être transparent sur la limite actuelle de cette intégration : le ROME est exploité à hauteur de sa structure taxonomique et de son référentiel de compétences, mais ses tables de mobilités professionnelles (passerelles explicites entre métiers, fondées sur des données empiriques de transitions réelles) ne sont pas encore utilisées pour affiner le calcul du potentiel. C'est la principale piste d'enrichissement du moteur de matching.</w:t>
      </w:r>
    </w:p>
    <w:p>
      <w:r>
        <w:br w:type="page"/>
      </w:r>
    </w:p>
    <w:p>
      <w:pPr>
        <w:pStyle w:val="Heading1"/>
      </w:pPr>
      <w:r>
        <w:rPr>
          <w:rFonts w:ascii="Times New Roman" w:hAnsi="Times New Roman"/>
          <w:color w:val="1F497D"/>
          <w:sz w:val="32"/>
        </w:rPr>
        <w:t>Chapitre 3 : Analyse et spécification des besoins</w:t>
      </w:r>
    </w:p>
    <w:p>
      <w:pPr>
        <w:spacing w:after="120"/>
        <w:ind w:firstLine="567"/>
        <w:jc w:val="both"/>
      </w:pPr>
      <w:r>
        <w:rPr>
          <w:rFonts w:ascii="Times New Roman" w:hAnsi="Times New Roman"/>
          <w:sz w:val="24"/>
        </w:rPr>
        <w:t>Ce chapitre traduit la problématique théorique posée au chapitre précédent en exigences concrètes pour le système. La question centrale — comment opérationnaliser un référentiel vivant de compétences ? — se décline ici en besoins fonctionnels, en profils d'acteurs et en contraintes techniques qui ont guidé les choix de conception.</w:t>
      </w:r>
    </w:p>
    <w:p>
      <w:pPr>
        <w:pStyle w:val="Heading2"/>
      </w:pPr>
      <w:r>
        <w:rPr>
          <w:rFonts w:ascii="Times New Roman" w:hAnsi="Times New Roman"/>
          <w:color w:val="2E74B5"/>
          <w:sz w:val="28"/>
        </w:rPr>
        <w:t>3.1 Démarche de recueil des besoins</w:t>
      </w:r>
    </w:p>
    <w:p>
      <w:pPr>
        <w:spacing w:after="120"/>
        <w:ind w:firstLine="567"/>
        <w:jc w:val="both"/>
      </w:pPr>
      <w:r>
        <w:rPr>
          <w:rFonts w:ascii="Times New Roman" w:hAnsi="Times New Roman"/>
          <w:sz w:val="24"/>
        </w:rPr>
        <w:t>Le recueil des besoins a été conduit selon une démarche itérative combinant trois approches complémentaires. Cette itérativité était nécessaire : les besoins d'un système d'ingénierie des compétences ne s'expriment pas spontanément — ils émergent progressivement au fil des discussions avec les parties prenantes, à mesure que celles-ci visualisent ce que le système peut réellement leur apporter.</w:t>
      </w:r>
    </w:p>
    <w:p>
      <w:pPr>
        <w:spacing w:after="120"/>
        <w:ind w:firstLine="567"/>
        <w:jc w:val="both"/>
      </w:pPr>
      <w:r>
        <w:rPr>
          <w:rFonts w:ascii="Times New Roman" w:hAnsi="Times New Roman"/>
          <w:sz w:val="24"/>
        </w:rPr>
        <w:t>Des entretiens semi-directifs ont été menés avec les parties prenantes clés de l'IFDC et de la Direction des Ressources Humaines de l'ONCF. Ces entretiens avaient pour double objectif de comprendre les processus actuels (et leurs points de friction) et de faire émerger une vision partagée de ce que le système devrait permettre de faire que l'organisation ne peut pas faire aujourd'hui. Le guide d'entretien est fourni en Annexe A.</w:t>
      </w:r>
    </w:p>
    <w:p>
      <w:pPr>
        <w:spacing w:after="120"/>
        <w:ind w:firstLine="567"/>
        <w:jc w:val="both"/>
      </w:pPr>
      <w:r>
        <w:rPr>
          <w:rFonts w:ascii="Times New Roman" w:hAnsi="Times New Roman"/>
          <w:sz w:val="24"/>
        </w:rPr>
        <w:t>Une analyse documentaire a permis d'étudier les référentiels de compétences existants à l'IFDC, les procédures de recrutement en vigueur et les plans de formation annuels. Cette base factuelle a été déterminante pour la modélisation des données : elle a permis d'ancrer les abstractions du système (compétence, niveau, métier) dans la réalité des pratiques de l'organisation.</w:t>
      </w:r>
    </w:p>
    <w:p>
      <w:pPr>
        <w:spacing w:after="120"/>
        <w:ind w:firstLine="567"/>
        <w:jc w:val="both"/>
      </w:pPr>
      <w:r>
        <w:rPr>
          <w:rFonts w:ascii="Times New Roman" w:hAnsi="Times New Roman"/>
          <w:sz w:val="24"/>
        </w:rPr>
        <w:t>Des ateliers de co-conception ont réuni formateurs, responsables RH, ingénieurs pédagogiques et représentants du personnel pour valider les prototypes fonctionnels et affiner les besoins. Ces ateliers ont notamment permis de faire émerger l'exigence de non-directivité dans la construction du profil : le système doit conseiller sans imposer, suggérer sans contraindre.</w:t>
      </w:r>
    </w:p>
    <w:p>
      <w:pPr>
        <w:pStyle w:val="Heading2"/>
      </w:pPr>
      <w:r>
        <w:rPr>
          <w:rFonts w:ascii="Times New Roman" w:hAnsi="Times New Roman"/>
          <w:color w:val="2E74B5"/>
          <w:sz w:val="28"/>
        </w:rPr>
        <w:t>3.2 Identification des acteurs et de leurs rôles dans le cycle</w:t>
      </w:r>
    </w:p>
    <w:p>
      <w:pPr>
        <w:spacing w:after="120"/>
        <w:ind w:firstLine="567"/>
        <w:jc w:val="both"/>
      </w:pPr>
      <w:r>
        <w:rPr>
          <w:rFonts w:ascii="Times New Roman" w:hAnsi="Times New Roman"/>
          <w:sz w:val="24"/>
        </w:rPr>
        <w:t>La plateforme RecruitPRO articule cinq profils d'acteurs dont les interactions couvrent l'ensemble du cycle d'ingénierie des compétences. Il est important de noter que ces rôles ne sont pas statiques : un candidat recruté devient un employé (avec transfert de son profil) ; un employé est aussi un apprenant dans le LMS. Cette fluidité des rôles est une exigence architecturale fondamentale.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Times New Roman" w:hAnsi="Times New Roman"/>
                <w:b/>
                <w:color w:val="FFFFFF"/>
                <w:sz w:val="22"/>
              </w:rPr>
              <w:t>Acteur</w:t>
            </w:r>
          </w:p>
        </w:tc>
        <w:tc>
          <w:tcPr>
            <w:tcW w:type="dxa" w:w="3041"/>
            <w:shd w:val="clear" w:color="auto" w:fill="1F497D"/>
          </w:tcPr>
          <w:p>
            <w:pPr>
              <w:jc w:val="center"/>
            </w:pPr>
            <w:r>
              <w:rPr>
                <w:rFonts w:ascii="Times New Roman" w:hAnsi="Times New Roman"/>
                <w:b/>
                <w:color w:val="FFFFFF"/>
                <w:sz w:val="22"/>
              </w:rPr>
              <w:t>Rôle dans le cycle de compétences</w:t>
            </w:r>
          </w:p>
        </w:tc>
        <w:tc>
          <w:tcPr>
            <w:tcW w:type="dxa" w:w="3041"/>
            <w:shd w:val="clear" w:color="auto" w:fill="1F497D"/>
          </w:tcPr>
          <w:p>
            <w:pPr>
              <w:jc w:val="center"/>
            </w:pPr>
            <w:r>
              <w:rPr>
                <w:rFonts w:ascii="Times New Roman" w:hAnsi="Times New Roman"/>
                <w:b/>
                <w:color w:val="FFFFFF"/>
                <w:sz w:val="22"/>
              </w:rPr>
              <w:t>Actions principales</w:t>
            </w:r>
          </w:p>
        </w:tc>
      </w:tr>
      <w:tr>
        <w:tc>
          <w:tcPr>
            <w:tcW w:type="dxa" w:w="3041"/>
          </w:tcPr>
          <w:p>
            <w:r>
              <w:rPr>
                <w:rFonts w:ascii="Times New Roman" w:hAnsi="Times New Roman"/>
                <w:sz w:val="22"/>
              </w:rPr>
              <w:t>Administrateur système</w:t>
            </w:r>
          </w:p>
        </w:tc>
        <w:tc>
          <w:tcPr>
            <w:tcW w:type="dxa" w:w="3041"/>
          </w:tcPr>
          <w:p>
            <w:r>
              <w:rPr>
                <w:rFonts w:ascii="Times New Roman" w:hAnsi="Times New Roman"/>
                <w:sz w:val="22"/>
              </w:rPr>
              <w:t>Pilotage global de la plateforme</w:t>
            </w:r>
          </w:p>
        </w:tc>
        <w:tc>
          <w:tcPr>
            <w:tcW w:type="dxa" w:w="3041"/>
          </w:tcPr>
          <w:p>
            <w:r>
              <w:rPr>
                <w:rFonts w:ascii="Times New Roman" w:hAnsi="Times New Roman"/>
                <w:sz w:val="22"/>
              </w:rPr>
              <w:t>Gestion des tenants, des utilisateurs, du référentiel de compétences global</w:t>
            </w:r>
          </w:p>
        </w:tc>
      </w:tr>
      <w:tr>
        <w:tc>
          <w:tcPr>
            <w:tcW w:type="dxa" w:w="3041"/>
          </w:tcPr>
          <w:p>
            <w:r>
              <w:rPr>
                <w:rFonts w:ascii="Times New Roman" w:hAnsi="Times New Roman"/>
                <w:sz w:val="22"/>
              </w:rPr>
              <w:t>Recruteur / Ingénieur RH</w:t>
            </w:r>
          </w:p>
        </w:tc>
        <w:tc>
          <w:tcPr>
            <w:tcW w:type="dxa" w:w="3041"/>
          </w:tcPr>
          <w:p>
            <w:r>
              <w:rPr>
                <w:rFonts w:ascii="Times New Roman" w:hAnsi="Times New Roman"/>
                <w:sz w:val="22"/>
              </w:rPr>
              <w:t>Identification des besoins et pilotage de l'acquisition</w:t>
            </w:r>
          </w:p>
        </w:tc>
        <w:tc>
          <w:tcPr>
            <w:tcW w:type="dxa" w:w="3041"/>
          </w:tcPr>
          <w:p>
            <w:r>
              <w:rPr>
                <w:rFonts w:ascii="Times New Roman" w:hAnsi="Times New Roman"/>
                <w:sz w:val="22"/>
              </w:rPr>
              <w:t>Définition des postes et exigences, gestion du pipeline, pilotage de la mobilité interne</w:t>
            </w:r>
          </w:p>
        </w:tc>
      </w:tr>
      <w:tr>
        <w:tc>
          <w:tcPr>
            <w:tcW w:type="dxa" w:w="3041"/>
          </w:tcPr>
          <w:p>
            <w:r>
              <w:rPr>
                <w:rFonts w:ascii="Times New Roman" w:hAnsi="Times New Roman"/>
                <w:sz w:val="22"/>
              </w:rPr>
              <w:t>Candidat externe</w:t>
            </w:r>
          </w:p>
        </w:tc>
        <w:tc>
          <w:tcPr>
            <w:tcW w:type="dxa" w:w="3041"/>
          </w:tcPr>
          <w:p>
            <w:r>
              <w:rPr>
                <w:rFonts w:ascii="Times New Roman" w:hAnsi="Times New Roman"/>
                <w:sz w:val="22"/>
              </w:rPr>
              <w:t>Acteur de son propre profil de compétences</w:t>
            </w:r>
          </w:p>
        </w:tc>
        <w:tc>
          <w:tcPr>
            <w:tcW w:type="dxa" w:w="3041"/>
          </w:tcPr>
          <w:p>
            <w:r>
              <w:rPr>
                <w:rFonts w:ascii="Times New Roman" w:hAnsi="Times New Roman"/>
                <w:sz w:val="22"/>
              </w:rPr>
              <w:t>Construction autonome du profil, candidature aux offres, analyse de son profil et suivi des suggestions</w:t>
            </w:r>
          </w:p>
        </w:tc>
      </w:tr>
      <w:tr>
        <w:tc>
          <w:tcPr>
            <w:tcW w:type="dxa" w:w="3041"/>
          </w:tcPr>
          <w:p>
            <w:r>
              <w:rPr>
                <w:rFonts w:ascii="Times New Roman" w:hAnsi="Times New Roman"/>
                <w:sz w:val="22"/>
              </w:rPr>
              <w:t>Employé</w:t>
            </w:r>
          </w:p>
        </w:tc>
        <w:tc>
          <w:tcPr>
            <w:tcW w:type="dxa" w:w="3041"/>
          </w:tcPr>
          <w:p>
            <w:r>
              <w:rPr>
                <w:rFonts w:ascii="Times New Roman" w:hAnsi="Times New Roman"/>
                <w:sz w:val="22"/>
              </w:rPr>
              <w:t>Maintien et développement de ses compétences</w:t>
            </w:r>
          </w:p>
        </w:tc>
        <w:tc>
          <w:tcPr>
            <w:tcW w:type="dxa" w:w="3041"/>
          </w:tcPr>
          <w:p>
            <w:r>
              <w:rPr>
                <w:rFonts w:ascii="Times New Roman" w:hAnsi="Times New Roman"/>
                <w:sz w:val="22"/>
              </w:rPr>
              <w:t>Mise à jour du profil, candidature interne, suivi des formations, consultation de son analyse de profil</w:t>
            </w:r>
          </w:p>
        </w:tc>
      </w:tr>
      <w:tr>
        <w:tc>
          <w:tcPr>
            <w:tcW w:type="dxa" w:w="3041"/>
          </w:tcPr>
          <w:p>
            <w:r>
              <w:rPr>
                <w:rFonts w:ascii="Times New Roman" w:hAnsi="Times New Roman"/>
                <w:sz w:val="22"/>
              </w:rPr>
              <w:t>Formateur / Instructeur LMS</w:t>
            </w:r>
          </w:p>
        </w:tc>
        <w:tc>
          <w:tcPr>
            <w:tcW w:type="dxa" w:w="3041"/>
          </w:tcPr>
          <w:p>
            <w:r>
              <w:rPr>
                <w:rFonts w:ascii="Times New Roman" w:hAnsi="Times New Roman"/>
                <w:sz w:val="22"/>
              </w:rPr>
              <w:t>Développement des compétences par la formation</w:t>
            </w:r>
          </w:p>
        </w:tc>
        <w:tc>
          <w:tcPr>
            <w:tcW w:type="dxa" w:w="3041"/>
          </w:tcPr>
          <w:p>
            <w:r>
              <w:rPr>
                <w:rFonts w:ascii="Times New Roman" w:hAnsi="Times New Roman"/>
                <w:sz w:val="22"/>
              </w:rPr>
              <w:t>Création de cours et parcours pédagogiques, évaluation des apprenants, délivrance de certifications</w:t>
            </w:r>
          </w:p>
        </w:tc>
      </w:tr>
    </w:tbl>
    <w:p>
      <w:pPr>
        <w:pStyle w:val="Heading2"/>
      </w:pPr>
      <w:r>
        <w:rPr>
          <w:rFonts w:ascii="Times New Roman" w:hAnsi="Times New Roman"/>
          <w:color w:val="2E74B5"/>
          <w:sz w:val="28"/>
        </w:rPr>
        <w:t>3.3 Besoins fonctionnels</w:t>
      </w:r>
    </w:p>
    <w:p>
      <w:pPr>
        <w:spacing w:after="120"/>
        <w:ind w:firstLine="567"/>
        <w:jc w:val="both"/>
      </w:pPr>
      <w:r>
        <w:rPr>
          <w:rFonts w:ascii="Times New Roman" w:hAnsi="Times New Roman"/>
          <w:sz w:val="24"/>
        </w:rPr>
        <w:t>Les besoins fonctionnels sont organisés autour de quatre axes qui correspondent aux mécanismes clés du référentiel vivant : la construction du profil, l'identification des écarts, les actions de développement, et la mise à jour automatique du référentiel.</w:t>
      </w:r>
    </w:p>
    <w:p>
      <w:pPr>
        <w:pStyle w:val="Heading3"/>
      </w:pPr>
      <w:r>
        <w:rPr>
          <w:rFonts w:ascii="Times New Roman" w:hAnsi="Times New Roman"/>
          <w:b/>
          <w:sz w:val="24"/>
        </w:rPr>
        <w:t>3.3.1 Module ATS — Recrutement et construction initiale du profil</w:t>
      </w:r>
    </w:p>
    <w:p>
      <w:pPr>
        <w:pStyle w:val="ListBullet"/>
        <w:ind w:left="567"/>
      </w:pPr>
      <w:r>
        <w:rPr>
          <w:rFonts w:ascii="Times New Roman" w:hAnsi="Times New Roman"/>
          <w:b/>
          <w:sz w:val="24"/>
        </w:rPr>
        <w:t>BF-01</w:t>
      </w:r>
      <w:r>
        <w:rPr>
          <w:rFonts w:ascii="Times New Roman" w:hAnsi="Times New Roman"/>
          <w:sz w:val="24"/>
        </w:rPr>
        <w:t xml:space="preserve"> : Le recruteur doit pouvoir créer et publier des offres d'emploi structurées, avec description explicite des compétences requises (obligatoires/optionnelles) et de leur niveau d'exigence (1-4).</w:t>
      </w:r>
    </w:p>
    <w:p>
      <w:pPr>
        <w:pStyle w:val="ListBullet"/>
        <w:ind w:left="567"/>
      </w:pPr>
      <w:r>
        <w:rPr>
          <w:rFonts w:ascii="Times New Roman" w:hAnsi="Times New Roman"/>
          <w:b/>
          <w:sz w:val="24"/>
        </w:rPr>
        <w:t>BF-02</w:t>
      </w:r>
      <w:r>
        <w:rPr>
          <w:rFonts w:ascii="Times New Roman" w:hAnsi="Times New Roman"/>
          <w:sz w:val="24"/>
        </w:rPr>
        <w:t xml:space="preserve"> : La plateforme doit offrir aux candidats un onboarding guidé pour construire librement leur profil structuré (bio, formation, expérience, compétences auto-évaluées, CV) — le système accompagne sans imposer.</w:t>
      </w:r>
    </w:p>
    <w:p>
      <w:pPr>
        <w:pStyle w:val="ListBullet"/>
        <w:ind w:left="567"/>
      </w:pPr>
      <w:r>
        <w:rPr>
          <w:rFonts w:ascii="Times New Roman" w:hAnsi="Times New Roman"/>
          <w:b/>
          <w:sz w:val="24"/>
        </w:rPr>
        <w:t>BF-03</w:t>
      </w:r>
      <w:r>
        <w:rPr>
          <w:rFonts w:ascii="Times New Roman" w:hAnsi="Times New Roman"/>
          <w:sz w:val="24"/>
        </w:rPr>
        <w:t xml:space="preserve"> : Le recruteur doit pouvoir inviter proactivement des candidats à postuler à une offre.</w:t>
      </w:r>
    </w:p>
    <w:p>
      <w:pPr>
        <w:pStyle w:val="ListBullet"/>
        <w:ind w:left="567"/>
      </w:pPr>
      <w:r>
        <w:rPr>
          <w:rFonts w:ascii="Times New Roman" w:hAnsi="Times New Roman"/>
          <w:b/>
          <w:sz w:val="24"/>
        </w:rPr>
        <w:t>BF-04</w:t>
      </w:r>
      <w:r>
        <w:rPr>
          <w:rFonts w:ascii="Times New Roman" w:hAnsi="Times New Roman"/>
          <w:sz w:val="24"/>
        </w:rPr>
        <w:t xml:space="preserve"> : Le système doit calculer automatiquement un score de fit et un score de potentiel pour chaque couple candidat/offre, en exposant les composantes du score et les écarts identifiés.</w:t>
      </w:r>
    </w:p>
    <w:p>
      <w:pPr>
        <w:pStyle w:val="ListBullet"/>
        <w:ind w:left="567"/>
      </w:pPr>
      <w:r>
        <w:rPr>
          <w:rFonts w:ascii="Times New Roman" w:hAnsi="Times New Roman"/>
          <w:b/>
          <w:sz w:val="24"/>
        </w:rPr>
        <w:t>BF-05</w:t>
      </w:r>
      <w:r>
        <w:rPr>
          <w:rFonts w:ascii="Times New Roman" w:hAnsi="Times New Roman"/>
          <w:sz w:val="24"/>
        </w:rPr>
        <w:t xml:space="preserve"> : Le recruteur doit disposer d'un tableau de bord Kanban pour visualiser et piloter le pipeline de candidatures par statut.</w:t>
      </w:r>
    </w:p>
    <w:p>
      <w:pPr>
        <w:pStyle w:val="ListBullet"/>
        <w:ind w:left="567"/>
      </w:pPr>
      <w:r>
        <w:rPr>
          <w:rFonts w:ascii="Times New Roman" w:hAnsi="Times New Roman"/>
          <w:b/>
          <w:sz w:val="24"/>
        </w:rPr>
        <w:t>BF-06</w:t>
      </w:r>
      <w:r>
        <w:rPr>
          <w:rFonts w:ascii="Times New Roman" w:hAnsi="Times New Roman"/>
          <w:sz w:val="24"/>
        </w:rPr>
        <w:t xml:space="preserve"> : Lors de l'acceptation d'un candidat, le système doit automatiquement créer son profil employé en transférant l'intégralité de ses données (compétences, formations, certifications, expérience, CV) — garantissant la continuité du référentiel.</w:t>
      </w:r>
    </w:p>
    <w:p>
      <w:pPr>
        <w:pStyle w:val="ListBullet"/>
        <w:ind w:left="567"/>
      </w:pPr>
      <w:r>
        <w:rPr>
          <w:rFonts w:ascii="Times New Roman" w:hAnsi="Times New Roman"/>
          <w:b/>
          <w:sz w:val="24"/>
        </w:rPr>
        <w:t>BF-07</w:t>
      </w:r>
      <w:r>
        <w:rPr>
          <w:rFonts w:ascii="Times New Roman" w:hAnsi="Times New Roman"/>
          <w:sz w:val="24"/>
        </w:rPr>
        <w:t xml:space="preserve"> : Le rôle système du candidat recruté doit être automatiquement basculé vers EMPLOYÉ, lui donnant accès à son espace collaborateur dès sa prochaine connexion.</w:t>
      </w:r>
    </w:p>
    <w:p>
      <w:pPr>
        <w:pStyle w:val="Heading3"/>
      </w:pPr>
      <w:r>
        <w:rPr>
          <w:rFonts w:ascii="Times New Roman" w:hAnsi="Times New Roman"/>
          <w:b/>
          <w:sz w:val="24"/>
        </w:rPr>
        <w:t>3.3.2 Module RH — Développement et mobilité</w:t>
      </w:r>
    </w:p>
    <w:p>
      <w:pPr>
        <w:pStyle w:val="ListBullet"/>
        <w:ind w:left="567"/>
      </w:pPr>
      <w:r>
        <w:rPr>
          <w:rFonts w:ascii="Times New Roman" w:hAnsi="Times New Roman"/>
          <w:b/>
          <w:sz w:val="24"/>
        </w:rPr>
        <w:t>BF-08</w:t>
      </w:r>
      <w:r>
        <w:rPr>
          <w:rFonts w:ascii="Times New Roman" w:hAnsi="Times New Roman"/>
          <w:sz w:val="24"/>
        </w:rPr>
        <w:t xml:space="preserve"> : L'employé doit pouvoir consulter et enrichir en continu son profil professionnel (compétences, formations, expériences, certifications) — le profil n'est jamais figé.</w:t>
      </w:r>
    </w:p>
    <w:p>
      <w:pPr>
        <w:pStyle w:val="ListBullet"/>
        <w:ind w:left="567"/>
      </w:pPr>
      <w:r>
        <w:rPr>
          <w:rFonts w:ascii="Times New Roman" w:hAnsi="Times New Roman"/>
          <w:b/>
          <w:sz w:val="24"/>
        </w:rPr>
        <w:t>BF-09</w:t>
      </w:r>
      <w:r>
        <w:rPr>
          <w:rFonts w:ascii="Times New Roman" w:hAnsi="Times New Roman"/>
          <w:sz w:val="24"/>
        </w:rPr>
        <w:t xml:space="preserve"> : Le système doit permettre la gestion de l'organigramme de l'organisation (unités organisationnelles, rattachement des employés, rôles internes avec permissions granulaires).</w:t>
      </w:r>
    </w:p>
    <w:p>
      <w:pPr>
        <w:pStyle w:val="ListBullet"/>
        <w:ind w:left="567"/>
      </w:pPr>
      <w:r>
        <w:rPr>
          <w:rFonts w:ascii="Times New Roman" w:hAnsi="Times New Roman"/>
          <w:b/>
          <w:sz w:val="24"/>
        </w:rPr>
        <w:t>BF-10</w:t>
      </w:r>
      <w:r>
        <w:rPr>
          <w:rFonts w:ascii="Times New Roman" w:hAnsi="Times New Roman"/>
          <w:sz w:val="24"/>
        </w:rPr>
        <w:t xml:space="preserve"> : Le recruteur/DRH doit pouvoir créer des postes de mobilité interne et piloter les candidatures internes avec un processus de sélection structuré.</w:t>
      </w:r>
    </w:p>
    <w:p>
      <w:pPr>
        <w:pStyle w:val="ListBullet"/>
        <w:ind w:left="567"/>
      </w:pPr>
      <w:r>
        <w:rPr>
          <w:rFonts w:ascii="Times New Roman" w:hAnsi="Times New Roman"/>
          <w:b/>
          <w:sz w:val="24"/>
        </w:rPr>
        <w:t>BF-11</w:t>
      </w:r>
      <w:r>
        <w:rPr>
          <w:rFonts w:ascii="Times New Roman" w:hAnsi="Times New Roman"/>
          <w:sz w:val="24"/>
        </w:rPr>
        <w:t xml:space="preserve"> : L'employé doit pouvoir consulter les postes de mobilité disponibles, postuler et suivre l'état de sa candidature.</w:t>
      </w:r>
    </w:p>
    <w:p>
      <w:pPr>
        <w:pStyle w:val="Heading3"/>
      </w:pPr>
      <w:r>
        <w:rPr>
          <w:rFonts w:ascii="Times New Roman" w:hAnsi="Times New Roman"/>
          <w:b/>
          <w:sz w:val="24"/>
        </w:rPr>
        <w:t>3.3.3 Module LMS — Formation et acquisition de compétences</w:t>
      </w:r>
    </w:p>
    <w:p>
      <w:pPr>
        <w:pStyle w:val="ListBullet"/>
        <w:ind w:left="567"/>
      </w:pPr>
      <w:r>
        <w:rPr>
          <w:rFonts w:ascii="Times New Roman" w:hAnsi="Times New Roman"/>
          <w:b/>
          <w:sz w:val="24"/>
        </w:rPr>
        <w:t>BF-12</w:t>
      </w:r>
      <w:r>
        <w:rPr>
          <w:rFonts w:ascii="Times New Roman" w:hAnsi="Times New Roman"/>
          <w:sz w:val="24"/>
        </w:rPr>
        <w:t xml:space="preserve"> : Le formateur doit pouvoir créer des parcours de formation structurés (cours, modules, sections, quiz) avec différents types de contenus.</w:t>
      </w:r>
    </w:p>
    <w:p>
      <w:pPr>
        <w:pStyle w:val="ListBullet"/>
        <w:ind w:left="567"/>
      </w:pPr>
      <w:r>
        <w:rPr>
          <w:rFonts w:ascii="Times New Roman" w:hAnsi="Times New Roman"/>
          <w:b/>
          <w:sz w:val="24"/>
        </w:rPr>
        <w:t>BF-13</w:t>
      </w:r>
      <w:r>
        <w:rPr>
          <w:rFonts w:ascii="Times New Roman" w:hAnsi="Times New Roman"/>
          <w:sz w:val="24"/>
        </w:rPr>
        <w:t xml:space="preserve"> : Le recruteur/DRH doit pouvoir assigner des formations à des employés depuis l'espace RH, en lien avec les écarts identifiés.</w:t>
      </w:r>
    </w:p>
    <w:p>
      <w:pPr>
        <w:pStyle w:val="ListBullet"/>
        <w:ind w:left="567"/>
      </w:pPr>
      <w:r>
        <w:rPr>
          <w:rFonts w:ascii="Times New Roman" w:hAnsi="Times New Roman"/>
          <w:b/>
          <w:sz w:val="24"/>
        </w:rPr>
        <w:t>BF-14</w:t>
      </w:r>
      <w:r>
        <w:rPr>
          <w:rFonts w:ascii="Times New Roman" w:hAnsi="Times New Roman"/>
          <w:sz w:val="24"/>
        </w:rPr>
        <w:t xml:space="preserve"> : L'employé doit pouvoir accéder au catalogue de formations, s'inscrire et suivre sa progression.</w:t>
      </w:r>
    </w:p>
    <w:p>
      <w:pPr>
        <w:pStyle w:val="ListBullet"/>
        <w:ind w:left="567"/>
      </w:pPr>
      <w:r>
        <w:rPr>
          <w:rFonts w:ascii="Times New Roman" w:hAnsi="Times New Roman"/>
          <w:b/>
          <w:sz w:val="24"/>
        </w:rPr>
        <w:t>BF-15</w:t>
      </w:r>
      <w:r>
        <w:rPr>
          <w:rFonts w:ascii="Times New Roman" w:hAnsi="Times New Roman"/>
          <w:sz w:val="24"/>
        </w:rPr>
        <w:t xml:space="preserve"> : L'accès au LMS doit s'effectuer sans re-authentification (SSO) depuis l'espace RH — la même identité numérique traverse les trois modules.</w:t>
      </w:r>
    </w:p>
    <w:p>
      <w:pPr>
        <w:pStyle w:val="Heading3"/>
      </w:pPr>
      <w:r>
        <w:rPr>
          <w:rFonts w:ascii="Times New Roman" w:hAnsi="Times New Roman"/>
          <w:b/>
          <w:sz w:val="24"/>
        </w:rPr>
        <w:t>3.3.4 Mécanismes de maintien du référentiel vivant</w:t>
      </w:r>
    </w:p>
    <w:p>
      <w:pPr>
        <w:spacing w:after="120"/>
        <w:ind w:firstLine="567"/>
        <w:jc w:val="both"/>
      </w:pPr>
      <w:r>
        <w:rPr>
          <w:rFonts w:ascii="Times New Roman" w:hAnsi="Times New Roman"/>
          <w:sz w:val="24"/>
        </w:rPr>
        <w:t>Ces besoins constituent le cœur de la contribution originale du système. Ils opérationnalisent le concept de référentiel vivant :</w:t>
      </w:r>
    </w:p>
    <w:p>
      <w:pPr>
        <w:pStyle w:val="ListBullet"/>
        <w:ind w:left="567"/>
      </w:pPr>
      <w:r>
        <w:rPr>
          <w:rFonts w:ascii="Times New Roman" w:hAnsi="Times New Roman"/>
          <w:b/>
          <w:sz w:val="24"/>
        </w:rPr>
        <w:t>BF-16 — Synchronisation formation → compétences</w:t>
      </w:r>
      <w:r>
        <w:rPr>
          <w:rFonts w:ascii="Times New Roman" w:hAnsi="Times New Roman"/>
          <w:sz w:val="24"/>
        </w:rPr>
        <w:t xml:space="preserve"> : à la complétion d'un cours LMS, le niveau de la compétence correspondante dans le profil du candidat/employé est automatiquement mis à jour — sans intervention humaine. C'est le mécanisme par lequel la formation enrichit directement le référentiel.</w:t>
      </w:r>
    </w:p>
    <w:p>
      <w:pPr>
        <w:pStyle w:val="ListBullet"/>
        <w:ind w:left="567"/>
      </w:pPr>
      <w:r>
        <w:rPr>
          <w:rFonts w:ascii="Times New Roman" w:hAnsi="Times New Roman"/>
          <w:b/>
          <w:sz w:val="24"/>
        </w:rPr>
        <w:t>BF-17 — Analyse de profil et suggestions d'évolution</w:t>
      </w:r>
      <w:r>
        <w:rPr>
          <w:rFonts w:ascii="Times New Roman" w:hAnsi="Times New Roman"/>
          <w:sz w:val="24"/>
        </w:rPr>
        <w:t xml:space="preserve"> : après construction libre de son profil, le candidat ou l'employé doit pouvoir accéder à une analyse de ses domaines de compétences. Le système identifie ses points forts, les compétences manquantes par rapport aux profils-types de son secteur (via le ROME), et propose des formations pour combler les écarts. Le candidat reste maître de ses choix — le système suggère, il décide.</w:t>
      </w:r>
    </w:p>
    <w:p>
      <w:pPr>
        <w:pStyle w:val="ListBullet"/>
        <w:ind w:left="567"/>
      </w:pPr>
      <w:r>
        <w:rPr>
          <w:rFonts w:ascii="Times New Roman" w:hAnsi="Times New Roman"/>
          <w:b/>
          <w:sz w:val="24"/>
        </w:rPr>
        <w:t>BF-18 — Vue agrégée des compétences organisationnelles</w:t>
      </w:r>
      <w:r>
        <w:rPr>
          <w:rFonts w:ascii="Times New Roman" w:hAnsi="Times New Roman"/>
          <w:sz w:val="24"/>
        </w:rPr>
        <w:t xml:space="preserve"> : le système doit permettre une analyse agrégée des compétences disponibles au niveau de l'organisation (répartition par domaine, niveaux moyens, écarts par rapport aux besoins des postes ouverts) — première brique d'un pilotage GPEC.</w:t>
      </w:r>
    </w:p>
    <w:p>
      <w:pPr>
        <w:pStyle w:val="Heading3"/>
      </w:pPr>
      <w:r>
        <w:rPr>
          <w:rFonts w:ascii="Times New Roman" w:hAnsi="Times New Roman"/>
          <w:b/>
          <w:sz w:val="24"/>
        </w:rPr>
        <w:t>3.3.5 Architecture multi-tenant et isolation des données</w:t>
      </w:r>
    </w:p>
    <w:p>
      <w:pPr>
        <w:pStyle w:val="ListBullet"/>
        <w:ind w:left="567"/>
      </w:pPr>
      <w:r>
        <w:rPr>
          <w:rFonts w:ascii="Times New Roman" w:hAnsi="Times New Roman"/>
          <w:b/>
          <w:sz w:val="24"/>
        </w:rPr>
        <w:t>BF-19</w:t>
      </w:r>
      <w:r>
        <w:rPr>
          <w:rFonts w:ascii="Times New Roman" w:hAnsi="Times New Roman"/>
          <w:sz w:val="24"/>
        </w:rPr>
        <w:t xml:space="preserve"> : la plateforme doit permettre à plusieurs entités organisationnelles (directions, départements) de coexister avec isolation complète de leurs données, tout en partageant un référentiel de compétences commun et un vivier de candidats mutualisé.</w:t>
      </w:r>
    </w:p>
    <w:p>
      <w:pPr>
        <w:pStyle w:val="Heading2"/>
      </w:pPr>
      <w:r>
        <w:rPr>
          <w:rFonts w:ascii="Times New Roman" w:hAnsi="Times New Roman"/>
          <w:color w:val="2E74B5"/>
          <w:sz w:val="28"/>
        </w:rPr>
        <w:t>3.4 Besoins non fonctionnels</w:t>
      </w:r>
    </w:p>
    <w:p>
      <w:pPr>
        <w:pStyle w:val="ListBullet"/>
        <w:ind w:left="567"/>
      </w:pPr>
      <w:r>
        <w:rPr>
          <w:rFonts w:ascii="Times New Roman" w:hAnsi="Times New Roman"/>
          <w:b/>
          <w:sz w:val="24"/>
        </w:rPr>
        <w:t>BNF-01 — Performance</w:t>
      </w:r>
      <w:r>
        <w:rPr>
          <w:rFonts w:ascii="Times New Roman" w:hAnsi="Times New Roman"/>
          <w:sz w:val="24"/>
        </w:rPr>
        <w:t xml:space="preserve"> : Les endpoints API doivent répondre en moins de 500 ms pour 95 % des requêtes sous une charge de 100 utilisateurs simultanés.</w:t>
      </w:r>
    </w:p>
    <w:p>
      <w:pPr>
        <w:pStyle w:val="ListBullet"/>
        <w:ind w:left="567"/>
      </w:pPr>
      <w:r>
        <w:rPr>
          <w:rFonts w:ascii="Times New Roman" w:hAnsi="Times New Roman"/>
          <w:b/>
          <w:sz w:val="24"/>
        </w:rPr>
        <w:t>BNF-02 — Sécurité</w:t>
      </w:r>
      <w:r>
        <w:rPr>
          <w:rFonts w:ascii="Times New Roman" w:hAnsi="Times New Roman"/>
          <w:sz w:val="24"/>
        </w:rPr>
        <w:t xml:space="preserve"> : Toutes les communications sont sécurisées par JWT (HS256) ; les mots de passe hachés (bcrypt) ; l'isolation des données entre tenants garantie au niveau applicatif ; les vulnérabilités OWASP Top 10 adressées dès la conception.</w:t>
      </w:r>
    </w:p>
    <w:p>
      <w:pPr>
        <w:pStyle w:val="ListBullet"/>
        <w:ind w:left="567"/>
      </w:pPr>
      <w:r>
        <w:rPr>
          <w:rFonts w:ascii="Times New Roman" w:hAnsi="Times New Roman"/>
          <w:b/>
          <w:sz w:val="24"/>
        </w:rPr>
        <w:t>BNF-03 — Disponibilité</w:t>
      </w:r>
      <w:r>
        <w:rPr>
          <w:rFonts w:ascii="Times New Roman" w:hAnsi="Times New Roman"/>
          <w:sz w:val="24"/>
        </w:rPr>
        <w:t xml:space="preserve"> : La plateforme doit viser une disponibilité de 99,5 % en heures ouvrées.</w:t>
      </w:r>
    </w:p>
    <w:p>
      <w:pPr>
        <w:pStyle w:val="ListBullet"/>
        <w:ind w:left="567"/>
      </w:pPr>
      <w:r>
        <w:rPr>
          <w:rFonts w:ascii="Times New Roman" w:hAnsi="Times New Roman"/>
          <w:b/>
          <w:sz w:val="24"/>
        </w:rPr>
        <w:t>BNF-04 — Maintenabilité</w:t>
      </w:r>
      <w:r>
        <w:rPr>
          <w:rFonts w:ascii="Times New Roman" w:hAnsi="Times New Roman"/>
          <w:sz w:val="24"/>
        </w:rPr>
        <w:t xml:space="preserve"> : Architecture modulaire permettant l'ajout de fonctionnalités sans refactoring majeur ; migrations de base de données versionnées (Alembic).</w:t>
      </w:r>
    </w:p>
    <w:p>
      <w:pPr>
        <w:pStyle w:val="ListBullet"/>
        <w:ind w:left="567"/>
      </w:pPr>
      <w:r>
        <w:rPr>
          <w:rFonts w:ascii="Times New Roman" w:hAnsi="Times New Roman"/>
          <w:b/>
          <w:sz w:val="24"/>
        </w:rPr>
        <w:t>BNF-05 — Utilisabilité</w:t>
      </w:r>
      <w:r>
        <w:rPr>
          <w:rFonts w:ascii="Times New Roman" w:hAnsi="Times New Roman"/>
          <w:sz w:val="24"/>
        </w:rPr>
        <w:t xml:space="preserve"> : Interface responsive (bureau et tablette) ; parcours utilisateurs clés accessibles en moins de 3 actions.</w:t>
      </w:r>
    </w:p>
    <w:p>
      <w:pPr>
        <w:pStyle w:val="ListBullet"/>
        <w:ind w:left="567"/>
      </w:pPr>
      <w:r>
        <w:rPr>
          <w:rFonts w:ascii="Times New Roman" w:hAnsi="Times New Roman"/>
          <w:b/>
          <w:sz w:val="24"/>
        </w:rPr>
        <w:t>BNF-06 — Évolutivité</w:t>
      </w:r>
      <w:r>
        <w:rPr>
          <w:rFonts w:ascii="Times New Roman" w:hAnsi="Times New Roman"/>
          <w:sz w:val="24"/>
        </w:rPr>
        <w:t xml:space="preserve"> : L'architecture doit anticiper l'intégration future de composantes NLP (extraction automatique de compétences depuis les CV), d'analytics prédictifs (anticipation des besoins en compétences) et d'un moteur de recommandation personnalisé de parcours.</w:t>
      </w:r>
    </w:p>
    <w:p>
      <w:pPr>
        <w:pStyle w:val="ListBullet"/>
        <w:ind w:left="567"/>
      </w:pPr>
      <w:r>
        <w:rPr>
          <w:rFonts w:ascii="Times New Roman" w:hAnsi="Times New Roman"/>
          <w:b/>
          <w:sz w:val="24"/>
        </w:rPr>
        <w:t>BNF-07 — Interopérabilité</w:t>
      </w:r>
      <w:r>
        <w:rPr>
          <w:rFonts w:ascii="Times New Roman" w:hAnsi="Times New Roman"/>
          <w:sz w:val="24"/>
        </w:rPr>
        <w:t xml:space="preserve"> : Les trois modules (ATS, RH, LMS) communiquent via une API REST standardisée et une authentification JWT partagée, garantissant l'indépendance technologique de chaque module tout en assurant la cohérence des données.</w:t>
      </w:r>
    </w:p>
    <w:p>
      <w:pPr>
        <w:pStyle w:val="Heading2"/>
      </w:pPr>
      <w:r>
        <w:rPr>
          <w:rFonts w:ascii="Times New Roman" w:hAnsi="Times New Roman"/>
          <w:color w:val="2E74B5"/>
          <w:sz w:val="28"/>
        </w:rPr>
        <w:t>3.5 Diagrammes des cas d'utilisation</w:t>
      </w:r>
    </w:p>
    <w:p>
      <w:pPr>
        <w:spacing w:after="120"/>
        <w:ind w:firstLine="567"/>
        <w:jc w:val="both"/>
      </w:pPr>
      <w:r>
        <w:rPr>
          <w:rFonts w:ascii="Times New Roman" w:hAnsi="Times New Roman"/>
          <w:sz w:val="24"/>
        </w:rPr>
        <w:t>[INSÉRER : diagramme UML général (tous acteurs, vue macro du cycle complet) et diagrammes détaillés par module (ATS, RH, LMS). Outils recommandés : PlantUML, draw.io, Lucidchart.]</w:t>
      </w:r>
    </w:p>
    <w:p>
      <w:pPr>
        <w:spacing w:after="120"/>
        <w:ind w:firstLine="567"/>
        <w:jc w:val="both"/>
      </w:pPr>
      <w:r>
        <w:rPr>
          <w:rFonts w:ascii="Times New Roman" w:hAnsi="Times New Roman"/>
          <w:sz w:val="24"/>
        </w:rPr>
        <w:t>Les cas d'utilisation principaux identifiés, organisés selon les phases du cycle d'ingénierie des compétences :</w:t>
      </w:r>
    </w:p>
    <w:p>
      <w:pPr>
        <w:pStyle w:val="ListBullet"/>
        <w:ind w:left="567"/>
      </w:pPr>
      <w:r>
        <w:rPr>
          <w:rFonts w:ascii="Times New Roman" w:hAnsi="Times New Roman"/>
          <w:b/>
          <w:sz w:val="24"/>
        </w:rPr>
        <w:t>Transversal</w:t>
      </w:r>
      <w:r>
        <w:rPr>
          <w:rFonts w:ascii="Times New Roman" w:hAnsi="Times New Roman"/>
          <w:sz w:val="24"/>
        </w:rPr>
        <w:t xml:space="preserve"> : S'authentifier (SSO), Gérer son profil, Analyser son profil de compétences.</w:t>
      </w:r>
    </w:p>
    <w:p>
      <w:pPr>
        <w:pStyle w:val="ListBullet"/>
        <w:ind w:left="567"/>
      </w:pPr>
      <w:r>
        <w:rPr>
          <w:rFonts w:ascii="Times New Roman" w:hAnsi="Times New Roman"/>
          <w:b/>
          <w:sz w:val="24"/>
        </w:rPr>
        <w:t>Phase Recrutement (ATS)</w:t>
      </w:r>
      <w:r>
        <w:rPr>
          <w:rFonts w:ascii="Times New Roman" w:hAnsi="Times New Roman"/>
          <w:sz w:val="24"/>
        </w:rPr>
        <w:t xml:space="preserve"> : Publier une offre, Postuler à une offre, Évaluer un candidat (fit + potentiel), Accepter/refuser un candidat, Transfert automatique du profil.</w:t>
      </w:r>
    </w:p>
    <w:p>
      <w:pPr>
        <w:pStyle w:val="ListBullet"/>
        <w:ind w:left="567"/>
      </w:pPr>
      <w:r>
        <w:rPr>
          <w:rFonts w:ascii="Times New Roman" w:hAnsi="Times New Roman"/>
          <w:b/>
          <w:sz w:val="24"/>
        </w:rPr>
        <w:t>Phase Emploi (RH)</w:t>
      </w:r>
      <w:r>
        <w:rPr>
          <w:rFonts w:ascii="Times New Roman" w:hAnsi="Times New Roman"/>
          <w:sz w:val="24"/>
        </w:rPr>
        <w:t xml:space="preserve"> : Consulter l'organigramme, Postuler à un poste interne, Gérer les candidatures internes, Assigner une formation.</w:t>
      </w:r>
    </w:p>
    <w:p>
      <w:pPr>
        <w:pStyle w:val="ListBullet"/>
        <w:ind w:left="567"/>
      </w:pPr>
      <w:r>
        <w:rPr>
          <w:rFonts w:ascii="Times New Roman" w:hAnsi="Times New Roman"/>
          <w:b/>
          <w:sz w:val="24"/>
        </w:rPr>
        <w:t>Phase Formation (LMS)</w:t>
      </w:r>
      <w:r>
        <w:rPr>
          <w:rFonts w:ascii="Times New Roman" w:hAnsi="Times New Roman"/>
          <w:sz w:val="24"/>
        </w:rPr>
        <w:t xml:space="preserve"> : Suivre une formation, Compléter un quiz, Obtenir une mise à jour automatique du niveau de compétence, Consulter les suggestions d'évolution.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