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1F497D"/>
          <w:sz w:val="32"/>
        </w:rPr>
        <w:t>Chapitre 3 : Analyse et spécification des besoins</w:t>
      </w:r>
    </w:p>
    <w:p>
      <w:pPr>
        <w:spacing w:after="120"/>
        <w:ind w:firstLine="567"/>
        <w:jc w:val="both"/>
      </w:pPr>
      <w:r>
        <w:rPr>
          <w:rFonts w:ascii="Times New Roman" w:hAnsi="Times New Roman"/>
          <w:sz w:val="24"/>
        </w:rPr>
        <w:t>Le chapitre précédent a établi le cadre théorique du projet et formulé sa question directrice : rendre opérationnel un référentiel de compétences vivant, qui s'auto-met à jour au fil des apprentissages, des mobilités et des recrutements. Ce chapitre opère la traduction de cette question en exigences concrètes. Il décrit d'abord la démarche de recueil des besoins (3.1), identifie les acteurs et leur rôle dans le cycle de compétences (3.2), puis spécifie les besoins fonctionnels (3.3) et non fonctionnels (3.4). Une attention particulière est portée aux exigences qui opérationnalisent le référentiel vivant, car elles constituent le cœur de la contribution. Le chapitre se clôt sur les cas d'utilisation (3.5) et une synthèse (3.6) introduisant la conception.</w:t>
      </w:r>
    </w:p>
    <w:p>
      <w:pPr>
        <w:pStyle w:val="Heading2"/>
      </w:pPr>
      <w:r>
        <w:rPr>
          <w:rFonts w:ascii="Times New Roman" w:hAnsi="Times New Roman"/>
          <w:color w:val="2E74B5"/>
          <w:sz w:val="28"/>
        </w:rPr>
        <w:t>3.1 Démarche de recueil des besoins</w:t>
      </w:r>
    </w:p>
    <w:p>
      <w:pPr>
        <w:spacing w:after="120"/>
        <w:ind w:firstLine="567"/>
        <w:jc w:val="both"/>
      </w:pPr>
      <w:r>
        <w:rPr>
          <w:rFonts w:ascii="Times New Roman" w:hAnsi="Times New Roman"/>
          <w:sz w:val="24"/>
        </w:rPr>
        <w:t>Le recueil des besoins a été conduit selon une démarche itérative combinant trois approches complémentaires. Cette itérativité était nécessaire : les besoins d'un système d'ingénierie des compétences ne s'expriment pas spontanément. Ils émergent progressivement, à mesure que les parties prenantes visualisent ce que le système peut réellement leur apporter au-delà de leurs pratiques actuelles.</w:t>
      </w:r>
    </w:p>
    <w:p>
      <w:pPr>
        <w:pStyle w:val="Heading3"/>
      </w:pPr>
      <w:r>
        <w:rPr>
          <w:rFonts w:ascii="Times New Roman" w:hAnsi="Times New Roman"/>
          <w:b/>
          <w:sz w:val="24"/>
        </w:rPr>
        <w:t>3.1.1 Les entretiens semi-directifs</w:t>
      </w:r>
    </w:p>
    <w:p>
      <w:pPr>
        <w:spacing w:after="120"/>
        <w:ind w:firstLine="567"/>
        <w:jc w:val="both"/>
      </w:pPr>
      <w:r>
        <w:rPr>
          <w:rFonts w:ascii="Times New Roman" w:hAnsi="Times New Roman"/>
          <w:sz w:val="24"/>
        </w:rPr>
        <w:t>Des entretiens semi-directifs ont été menés avec les parties prenantes clés de l'IFDC et de la Direction des Ressources Humaines de l'ONCF. Ils poursuivaient un double objectif : comprendre les processus actuels et leurs points de friction, et faire émerger une vision partagée de ce que le système devrait permettre que l'organisation ne sait pas faire aujourd'hui — en particulier la continuité entre recrutement, emploi et formation. Le guide d'entretien figure en annexe.</w:t>
      </w:r>
    </w:p>
    <w:p>
      <w:pPr>
        <w:pStyle w:val="Heading3"/>
      </w:pPr>
      <w:r>
        <w:rPr>
          <w:rFonts w:ascii="Times New Roman" w:hAnsi="Times New Roman"/>
          <w:b/>
          <w:sz w:val="24"/>
        </w:rPr>
        <w:t>3.1.2 L'analyse documentaire</w:t>
      </w:r>
    </w:p>
    <w:p>
      <w:pPr>
        <w:spacing w:after="120"/>
        <w:ind w:firstLine="567"/>
        <w:jc w:val="both"/>
      </w:pPr>
      <w:r>
        <w:rPr>
          <w:rFonts w:ascii="Times New Roman" w:hAnsi="Times New Roman"/>
          <w:sz w:val="24"/>
        </w:rPr>
        <w:t>Une analyse documentaire a porté sur les référentiels de compétences existants à l'IFDC, les procédures de recrutement en vigueur et les plans de formation annuels. Cette base factuelle a été déterminante pour la modélisation des données : elle a permis d'ancrer les abstractions du système (compétence, niveau, métier) dans la réalité des pratiques, et de vérifier l'adéquation de l'échelle à quatre niveaux retenue au chapitre 2 avec les usages réels de l'organisation.</w:t>
      </w:r>
    </w:p>
    <w:p>
      <w:pPr>
        <w:pStyle w:val="Heading3"/>
      </w:pPr>
      <w:r>
        <w:rPr>
          <w:rFonts w:ascii="Times New Roman" w:hAnsi="Times New Roman"/>
          <w:b/>
          <w:sz w:val="24"/>
        </w:rPr>
        <w:t>3.1.3 Les ateliers de co-conception</w:t>
      </w:r>
    </w:p>
    <w:p>
      <w:pPr>
        <w:spacing w:after="120"/>
        <w:ind w:firstLine="567"/>
        <w:jc w:val="both"/>
      </w:pPr>
      <w:r>
        <w:rPr>
          <w:rFonts w:ascii="Times New Roman" w:hAnsi="Times New Roman"/>
          <w:sz w:val="24"/>
        </w:rPr>
        <w:t>Des ateliers de co-conception ont réuni formateurs, responsables RH, ingénieurs pédagogiques et représentants du personnel autour de prototypes fonctionnels. Ils ont notamment fait émerger une exigence structurante : la non-directivité dans la construction du profil. Le système doit conseiller sans imposer, suggérer sans contraindre — l'individu construit librement son profil, puis reçoit des recommandations qu'il reste libre de suivre. Cette exigence, validée collectivement, a directement orienté la conception de la fonctionnalité d'analyse de profil (besoin BF-17).</w:t>
      </w:r>
    </w:p>
    <w:p>
      <w:pPr>
        <w:pStyle w:val="Heading2"/>
      </w:pPr>
      <w:r>
        <w:rPr>
          <w:rFonts w:ascii="Times New Roman" w:hAnsi="Times New Roman"/>
          <w:color w:val="2E74B5"/>
          <w:sz w:val="28"/>
        </w:rPr>
        <w:t>3.2 Identification des acteurs et de leurs rôles dans le cycle</w:t>
      </w:r>
    </w:p>
    <w:p>
      <w:pPr>
        <w:spacing w:after="120"/>
        <w:ind w:firstLine="567"/>
        <w:jc w:val="both"/>
      </w:pPr>
      <w:r>
        <w:rPr>
          <w:rFonts w:ascii="Times New Roman" w:hAnsi="Times New Roman"/>
          <w:sz w:val="24"/>
        </w:rPr>
        <w:t>La plateforme articule cinq profils d'acteurs dont les interactions couvrent l'ensemble du cycle d'ingénierie des compétences. Ces rôles ne sont pas figés : un candidat recruté devient un employé — avec transfert automatique de son profil — et un employé est aussi un apprenant dans le LMS. Cette fluidité des rôles n'est pas un détail d'usage : c'est une exigence architecturale fondamentale, condition même de la continuité du référentiel vivant.</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97D"/>
          </w:tcPr>
          <w:p>
            <w:pPr>
              <w:jc w:val="center"/>
            </w:pPr>
            <w:r>
              <w:rPr>
                <w:rFonts w:ascii="Times New Roman" w:hAnsi="Times New Roman"/>
                <w:b/>
                <w:color w:val="FFFFFF"/>
                <w:sz w:val="21"/>
              </w:rPr>
              <w:t>Acteur</w:t>
            </w:r>
          </w:p>
        </w:tc>
        <w:tc>
          <w:tcPr>
            <w:tcW w:type="dxa" w:w="3041"/>
            <w:shd w:val="clear" w:color="auto" w:fill="1F497D"/>
          </w:tcPr>
          <w:p>
            <w:pPr>
              <w:jc w:val="center"/>
            </w:pPr>
            <w:r>
              <w:rPr>
                <w:rFonts w:ascii="Times New Roman" w:hAnsi="Times New Roman"/>
                <w:b/>
                <w:color w:val="FFFFFF"/>
                <w:sz w:val="21"/>
              </w:rPr>
              <w:t>Rôle dans le cycle de compétences</w:t>
            </w:r>
          </w:p>
        </w:tc>
        <w:tc>
          <w:tcPr>
            <w:tcW w:type="dxa" w:w="3041"/>
            <w:shd w:val="clear" w:color="auto" w:fill="1F497D"/>
          </w:tcPr>
          <w:p>
            <w:pPr>
              <w:jc w:val="center"/>
            </w:pPr>
            <w:r>
              <w:rPr>
                <w:rFonts w:ascii="Times New Roman" w:hAnsi="Times New Roman"/>
                <w:b/>
                <w:color w:val="FFFFFF"/>
                <w:sz w:val="21"/>
              </w:rPr>
              <w:t>Actions principales</w:t>
            </w:r>
          </w:p>
        </w:tc>
      </w:tr>
      <w:tr>
        <w:tc>
          <w:tcPr>
            <w:tcW w:type="dxa" w:w="3041"/>
          </w:tcPr>
          <w:p>
            <w:r>
              <w:rPr>
                <w:rFonts w:ascii="Times New Roman" w:hAnsi="Times New Roman"/>
                <w:b/>
                <w:sz w:val="21"/>
              </w:rPr>
              <w:t>Administrateur système</w:t>
            </w:r>
          </w:p>
        </w:tc>
        <w:tc>
          <w:tcPr>
            <w:tcW w:type="dxa" w:w="3041"/>
          </w:tcPr>
          <w:p>
            <w:r>
              <w:rPr>
                <w:rFonts w:ascii="Times New Roman" w:hAnsi="Times New Roman"/>
                <w:sz w:val="21"/>
              </w:rPr>
              <w:t>Pilotage global de la plateforme</w:t>
            </w:r>
          </w:p>
        </w:tc>
        <w:tc>
          <w:tcPr>
            <w:tcW w:type="dxa" w:w="3041"/>
          </w:tcPr>
          <w:p>
            <w:r>
              <w:rPr>
                <w:rFonts w:ascii="Times New Roman" w:hAnsi="Times New Roman"/>
                <w:sz w:val="21"/>
              </w:rPr>
              <w:t>Gestion des entités, des utilisateurs et du référentiel de compétences global.</w:t>
            </w:r>
          </w:p>
        </w:tc>
      </w:tr>
      <w:tr>
        <w:tc>
          <w:tcPr>
            <w:tcW w:type="dxa" w:w="3041"/>
            <w:shd w:val="clear" w:color="auto" w:fill="EAF1F8"/>
          </w:tcPr>
          <w:p>
            <w:r>
              <w:rPr>
                <w:rFonts w:ascii="Times New Roman" w:hAnsi="Times New Roman"/>
                <w:b/>
                <w:sz w:val="21"/>
              </w:rPr>
              <w:t>Recruteur / Ingénieur RH</w:t>
            </w:r>
          </w:p>
        </w:tc>
        <w:tc>
          <w:tcPr>
            <w:tcW w:type="dxa" w:w="3041"/>
            <w:shd w:val="clear" w:color="auto" w:fill="EAF1F8"/>
          </w:tcPr>
          <w:p>
            <w:r>
              <w:rPr>
                <w:rFonts w:ascii="Times New Roman" w:hAnsi="Times New Roman"/>
                <w:sz w:val="21"/>
              </w:rPr>
              <w:t>Identification des besoins et pilotage de l'acquisition</w:t>
            </w:r>
          </w:p>
        </w:tc>
        <w:tc>
          <w:tcPr>
            <w:tcW w:type="dxa" w:w="3041"/>
            <w:shd w:val="clear" w:color="auto" w:fill="EAF1F8"/>
          </w:tcPr>
          <w:p>
            <w:r>
              <w:rPr>
                <w:rFonts w:ascii="Times New Roman" w:hAnsi="Times New Roman"/>
                <w:sz w:val="21"/>
              </w:rPr>
              <w:t>Définition des postes et exigences, gestion du pipeline, pilotage de la mobilité interne, assignation de formations.</w:t>
            </w:r>
          </w:p>
        </w:tc>
      </w:tr>
      <w:tr>
        <w:tc>
          <w:tcPr>
            <w:tcW w:type="dxa" w:w="3041"/>
          </w:tcPr>
          <w:p>
            <w:r>
              <w:rPr>
                <w:rFonts w:ascii="Times New Roman" w:hAnsi="Times New Roman"/>
                <w:b/>
                <w:sz w:val="21"/>
              </w:rPr>
              <w:t>Candidat externe</w:t>
            </w:r>
          </w:p>
        </w:tc>
        <w:tc>
          <w:tcPr>
            <w:tcW w:type="dxa" w:w="3041"/>
          </w:tcPr>
          <w:p>
            <w:r>
              <w:rPr>
                <w:rFonts w:ascii="Times New Roman" w:hAnsi="Times New Roman"/>
                <w:sz w:val="21"/>
              </w:rPr>
              <w:t>Acteur de son propre profil de compétences</w:t>
            </w:r>
          </w:p>
        </w:tc>
        <w:tc>
          <w:tcPr>
            <w:tcW w:type="dxa" w:w="3041"/>
          </w:tcPr>
          <w:p>
            <w:r>
              <w:rPr>
                <w:rFonts w:ascii="Times New Roman" w:hAnsi="Times New Roman"/>
                <w:sz w:val="21"/>
              </w:rPr>
              <w:t>Construction autonome du profil, candidature aux offres, consultation de l'analyse de profil et des suggestions.</w:t>
            </w:r>
          </w:p>
        </w:tc>
      </w:tr>
      <w:tr>
        <w:tc>
          <w:tcPr>
            <w:tcW w:type="dxa" w:w="3041"/>
            <w:shd w:val="clear" w:color="auto" w:fill="EAF1F8"/>
          </w:tcPr>
          <w:p>
            <w:r>
              <w:rPr>
                <w:rFonts w:ascii="Times New Roman" w:hAnsi="Times New Roman"/>
                <w:b/>
                <w:sz w:val="21"/>
              </w:rPr>
              <w:t>Employé</w:t>
            </w:r>
          </w:p>
        </w:tc>
        <w:tc>
          <w:tcPr>
            <w:tcW w:type="dxa" w:w="3041"/>
            <w:shd w:val="clear" w:color="auto" w:fill="EAF1F8"/>
          </w:tcPr>
          <w:p>
            <w:r>
              <w:rPr>
                <w:rFonts w:ascii="Times New Roman" w:hAnsi="Times New Roman"/>
                <w:sz w:val="21"/>
              </w:rPr>
              <w:t>Maintien et développement de ses compétences</w:t>
            </w:r>
          </w:p>
        </w:tc>
        <w:tc>
          <w:tcPr>
            <w:tcW w:type="dxa" w:w="3041"/>
            <w:shd w:val="clear" w:color="auto" w:fill="EAF1F8"/>
          </w:tcPr>
          <w:p>
            <w:r>
              <w:rPr>
                <w:rFonts w:ascii="Times New Roman" w:hAnsi="Times New Roman"/>
                <w:sz w:val="21"/>
              </w:rPr>
              <w:t>Mise à jour continue du profil, candidature interne, suivi des formations, consultation de son analyse de profil.</w:t>
            </w:r>
          </w:p>
        </w:tc>
      </w:tr>
      <w:tr>
        <w:tc>
          <w:tcPr>
            <w:tcW w:type="dxa" w:w="3041"/>
          </w:tcPr>
          <w:p>
            <w:r>
              <w:rPr>
                <w:rFonts w:ascii="Times New Roman" w:hAnsi="Times New Roman"/>
                <w:b/>
                <w:sz w:val="21"/>
              </w:rPr>
              <w:t>Formateur / Instructeur</w:t>
            </w:r>
          </w:p>
        </w:tc>
        <w:tc>
          <w:tcPr>
            <w:tcW w:type="dxa" w:w="3041"/>
          </w:tcPr>
          <w:p>
            <w:r>
              <w:rPr>
                <w:rFonts w:ascii="Times New Roman" w:hAnsi="Times New Roman"/>
                <w:sz w:val="21"/>
              </w:rPr>
              <w:t>Développement des compétences par la formation</w:t>
            </w:r>
          </w:p>
        </w:tc>
        <w:tc>
          <w:tcPr>
            <w:tcW w:type="dxa" w:w="3041"/>
          </w:tcPr>
          <w:p>
            <w:r>
              <w:rPr>
                <w:rFonts w:ascii="Times New Roman" w:hAnsi="Times New Roman"/>
                <w:sz w:val="21"/>
              </w:rPr>
              <w:t>Création de cours et parcours, évaluation des apprenants, délivrance de certifications.</w:t>
            </w:r>
          </w:p>
        </w:tc>
      </w:tr>
    </w:tbl>
    <w:p>
      <w:pPr>
        <w:pStyle w:val="Heading2"/>
      </w:pPr>
      <w:r>
        <w:rPr>
          <w:rFonts w:ascii="Times New Roman" w:hAnsi="Times New Roman"/>
          <w:color w:val="2E74B5"/>
          <w:sz w:val="28"/>
        </w:rPr>
        <w:t>3.3 Besoins fonctionnels</w:t>
      </w:r>
    </w:p>
    <w:p>
      <w:pPr>
        <w:spacing w:after="120"/>
        <w:ind w:firstLine="567"/>
        <w:jc w:val="both"/>
      </w:pPr>
      <w:r>
        <w:rPr>
          <w:rFonts w:ascii="Times New Roman" w:hAnsi="Times New Roman"/>
          <w:sz w:val="24"/>
        </w:rPr>
        <w:t>Les besoins fonctionnels sont organisés selon les phases du cycle de compétences identifiées au chapitre 2 : la construction initiale du profil et le recrutement (module ATS), le développement et la mobilité (module RH), la formation (module LMS), puis les mécanismes transverses de maintien du référentiel vivant. Chaque besoin est identifié par un code (BF-xx) afin d'assurer sa traçabilité vers la conception et les tests.</w:t>
      </w:r>
    </w:p>
    <w:p>
      <w:pPr>
        <w:pStyle w:val="Heading3"/>
      </w:pPr>
      <w:r>
        <w:rPr>
          <w:rFonts w:ascii="Times New Roman" w:hAnsi="Times New Roman"/>
          <w:b/>
          <w:sz w:val="24"/>
        </w:rPr>
        <w:t>3.3.1 Module ATS — Recrutement et construction initiale du profil</w:t>
      </w:r>
    </w:p>
    <w:p>
      <w:pPr>
        <w:pStyle w:val="ListBullet"/>
        <w:ind w:left="567"/>
        <w:jc w:val="both"/>
      </w:pPr>
      <w:r>
        <w:rPr>
          <w:rFonts w:ascii="Times New Roman" w:hAnsi="Times New Roman"/>
          <w:b/>
          <w:sz w:val="24"/>
        </w:rPr>
        <w:t>BF-01</w:t>
      </w:r>
      <w:r>
        <w:rPr>
          <w:rFonts w:ascii="Times New Roman" w:hAnsi="Times New Roman"/>
          <w:sz w:val="24"/>
        </w:rPr>
        <w:t xml:space="preserve"> : le recruteur peut créer et publier des offres d'emploi structurées, décrivant explicitement les compétences requises (obligatoires ou optionnelles) et leur niveau d'exigence (1 à 4).</w:t>
      </w:r>
    </w:p>
    <w:p>
      <w:pPr>
        <w:pStyle w:val="ListBullet"/>
        <w:ind w:left="567"/>
        <w:jc w:val="both"/>
      </w:pPr>
      <w:r>
        <w:rPr>
          <w:rFonts w:ascii="Times New Roman" w:hAnsi="Times New Roman"/>
          <w:b/>
          <w:sz w:val="24"/>
        </w:rPr>
        <w:t>BF-02</w:t>
      </w:r>
      <w:r>
        <w:rPr>
          <w:rFonts w:ascii="Times New Roman" w:hAnsi="Times New Roman"/>
          <w:sz w:val="24"/>
        </w:rPr>
        <w:t xml:space="preserve"> : la plateforme offre au candidat un parcours d'intégration guidé pour construire librement son profil structuré (biographie, formation, expérience, compétences auto-évaluées, CV) — le système accompagne sans imposer.</w:t>
      </w:r>
    </w:p>
    <w:p>
      <w:pPr>
        <w:pStyle w:val="ListBullet"/>
        <w:ind w:left="567"/>
        <w:jc w:val="both"/>
      </w:pPr>
      <w:r>
        <w:rPr>
          <w:rFonts w:ascii="Times New Roman" w:hAnsi="Times New Roman"/>
          <w:b/>
          <w:sz w:val="24"/>
        </w:rPr>
        <w:t>BF-03</w:t>
      </w:r>
      <w:r>
        <w:rPr>
          <w:rFonts w:ascii="Times New Roman" w:hAnsi="Times New Roman"/>
          <w:sz w:val="24"/>
        </w:rPr>
        <w:t xml:space="preserve"> : le recruteur peut inviter proactivement un candidat à postuler à une offre.</w:t>
      </w:r>
    </w:p>
    <w:p>
      <w:pPr>
        <w:pStyle w:val="ListBullet"/>
        <w:ind w:left="567"/>
        <w:jc w:val="both"/>
      </w:pPr>
      <w:r>
        <w:rPr>
          <w:rFonts w:ascii="Times New Roman" w:hAnsi="Times New Roman"/>
          <w:b/>
          <w:sz w:val="24"/>
        </w:rPr>
        <w:t>BF-04</w:t>
      </w:r>
      <w:r>
        <w:rPr>
          <w:rFonts w:ascii="Times New Roman" w:hAnsi="Times New Roman"/>
          <w:sz w:val="24"/>
        </w:rPr>
        <w:t xml:space="preserve"> : le système calcule automatiquement un score de fit et un score de potentiel pour chaque couple candidat/offre, en exposant les composantes du score et les écarts identifiés.</w:t>
      </w:r>
    </w:p>
    <w:p>
      <w:pPr>
        <w:pStyle w:val="ListBullet"/>
        <w:ind w:left="567"/>
        <w:jc w:val="both"/>
      </w:pPr>
      <w:r>
        <w:rPr>
          <w:rFonts w:ascii="Times New Roman" w:hAnsi="Times New Roman"/>
          <w:b/>
          <w:sz w:val="24"/>
        </w:rPr>
        <w:t>BF-05</w:t>
      </w:r>
      <w:r>
        <w:rPr>
          <w:rFonts w:ascii="Times New Roman" w:hAnsi="Times New Roman"/>
          <w:sz w:val="24"/>
        </w:rPr>
        <w:t xml:space="preserve"> : le recruteur dispose d'un tableau de bord de type Kanban pour visualiser et piloter le pipeline de candidatures par statut.</w:t>
      </w:r>
    </w:p>
    <w:p>
      <w:pPr>
        <w:pStyle w:val="ListBullet"/>
        <w:ind w:left="567"/>
        <w:jc w:val="both"/>
      </w:pPr>
      <w:r>
        <w:rPr>
          <w:rFonts w:ascii="Times New Roman" w:hAnsi="Times New Roman"/>
          <w:b/>
          <w:sz w:val="24"/>
        </w:rPr>
        <w:t>BF-06</w:t>
      </w:r>
      <w:r>
        <w:rPr>
          <w:rFonts w:ascii="Times New Roman" w:hAnsi="Times New Roman"/>
          <w:sz w:val="24"/>
        </w:rPr>
        <w:t xml:space="preserve"> : lors de l'acceptation d'un candidat, le système crée automatiquement son profil employé en transférant l'intégralité de ses données (compétences, formations, certifications, expérience, CV).</w:t>
      </w:r>
    </w:p>
    <w:p>
      <w:pPr>
        <w:pStyle w:val="ListBullet"/>
        <w:ind w:left="567"/>
        <w:jc w:val="both"/>
      </w:pPr>
      <w:r>
        <w:rPr>
          <w:rFonts w:ascii="Times New Roman" w:hAnsi="Times New Roman"/>
          <w:b/>
          <w:sz w:val="24"/>
        </w:rPr>
        <w:t>BF-07</w:t>
      </w:r>
      <w:r>
        <w:rPr>
          <w:rFonts w:ascii="Times New Roman" w:hAnsi="Times New Roman"/>
          <w:sz w:val="24"/>
        </w:rPr>
        <w:t xml:space="preserve"> : le rôle système du candidat recruté bascule automatiquement vers « employé », lui donnant accès à son espace collaborateur dès sa connexion suivante.</w:t>
      </w:r>
    </w:p>
    <w:p>
      <w:pPr>
        <w:pStyle w:val="Heading3"/>
      </w:pPr>
      <w:r>
        <w:rPr>
          <w:rFonts w:ascii="Times New Roman" w:hAnsi="Times New Roman"/>
          <w:b/>
          <w:sz w:val="24"/>
        </w:rPr>
        <w:t>3.3.2 Module RH — Développement et mobilité interne</w:t>
      </w:r>
    </w:p>
    <w:p>
      <w:pPr>
        <w:pStyle w:val="ListBullet"/>
        <w:ind w:left="567"/>
        <w:jc w:val="both"/>
      </w:pPr>
      <w:r>
        <w:rPr>
          <w:rFonts w:ascii="Times New Roman" w:hAnsi="Times New Roman"/>
          <w:b/>
          <w:sz w:val="24"/>
        </w:rPr>
        <w:t>BF-08</w:t>
      </w:r>
      <w:r>
        <w:rPr>
          <w:rFonts w:ascii="Times New Roman" w:hAnsi="Times New Roman"/>
          <w:sz w:val="24"/>
        </w:rPr>
        <w:t xml:space="preserve"> : l'employé peut consulter et enrichir en continu son profil professionnel (compétences, formations, expériences, certifications) — le profil n'est jamais figé.</w:t>
      </w:r>
    </w:p>
    <w:p>
      <w:pPr>
        <w:pStyle w:val="ListBullet"/>
        <w:ind w:left="567"/>
        <w:jc w:val="both"/>
      </w:pPr>
      <w:r>
        <w:rPr>
          <w:rFonts w:ascii="Times New Roman" w:hAnsi="Times New Roman"/>
          <w:b/>
          <w:sz w:val="24"/>
        </w:rPr>
        <w:t>BF-09</w:t>
      </w:r>
      <w:r>
        <w:rPr>
          <w:rFonts w:ascii="Times New Roman" w:hAnsi="Times New Roman"/>
          <w:sz w:val="24"/>
        </w:rPr>
        <w:t xml:space="preserve"> : le système permet la gestion de l'organigramme (unités organisationnelles, rattachement des employés, rôles internes assortis de permissions granulaires).</w:t>
      </w:r>
    </w:p>
    <w:p>
      <w:pPr>
        <w:pStyle w:val="ListBullet"/>
        <w:ind w:left="567"/>
        <w:jc w:val="both"/>
      </w:pPr>
      <w:r>
        <w:rPr>
          <w:rFonts w:ascii="Times New Roman" w:hAnsi="Times New Roman"/>
          <w:b/>
          <w:sz w:val="24"/>
        </w:rPr>
        <w:t>BF-10</w:t>
      </w:r>
      <w:r>
        <w:rPr>
          <w:rFonts w:ascii="Times New Roman" w:hAnsi="Times New Roman"/>
          <w:sz w:val="24"/>
        </w:rPr>
        <w:t xml:space="preserve"> : le recruteur ou le responsable RH peut créer des postes de mobilité interne et piloter les candidatures internes selon un processus de sélection structuré.</w:t>
      </w:r>
    </w:p>
    <w:p>
      <w:pPr>
        <w:pStyle w:val="ListBullet"/>
        <w:ind w:left="567"/>
        <w:jc w:val="both"/>
      </w:pPr>
      <w:r>
        <w:rPr>
          <w:rFonts w:ascii="Times New Roman" w:hAnsi="Times New Roman"/>
          <w:b/>
          <w:sz w:val="24"/>
        </w:rPr>
        <w:t>BF-11</w:t>
      </w:r>
      <w:r>
        <w:rPr>
          <w:rFonts w:ascii="Times New Roman" w:hAnsi="Times New Roman"/>
          <w:sz w:val="24"/>
        </w:rPr>
        <w:t xml:space="preserve"> : l'employé peut consulter les postes de mobilité disponibles, y postuler et suivre l'état de sa candidature.</w:t>
      </w:r>
    </w:p>
    <w:p>
      <w:pPr>
        <w:pStyle w:val="Heading3"/>
      </w:pPr>
      <w:r>
        <w:rPr>
          <w:rFonts w:ascii="Times New Roman" w:hAnsi="Times New Roman"/>
          <w:b/>
          <w:sz w:val="24"/>
        </w:rPr>
        <w:t>3.3.3 Module LMS — Formation et acquisition de compétences</w:t>
      </w:r>
    </w:p>
    <w:p>
      <w:pPr>
        <w:pStyle w:val="ListBullet"/>
        <w:ind w:left="567"/>
        <w:jc w:val="both"/>
      </w:pPr>
      <w:r>
        <w:rPr>
          <w:rFonts w:ascii="Times New Roman" w:hAnsi="Times New Roman"/>
          <w:b/>
          <w:sz w:val="24"/>
        </w:rPr>
        <w:t>BF-12</w:t>
      </w:r>
      <w:r>
        <w:rPr>
          <w:rFonts w:ascii="Times New Roman" w:hAnsi="Times New Roman"/>
          <w:sz w:val="24"/>
        </w:rPr>
        <w:t xml:space="preserve"> : le formateur peut créer des parcours de formation structurés (cours, modules, sections, quiz) intégrant différents types de contenus.</w:t>
      </w:r>
    </w:p>
    <w:p>
      <w:pPr>
        <w:pStyle w:val="ListBullet"/>
        <w:ind w:left="567"/>
        <w:jc w:val="both"/>
      </w:pPr>
      <w:r>
        <w:rPr>
          <w:rFonts w:ascii="Times New Roman" w:hAnsi="Times New Roman"/>
          <w:b/>
          <w:sz w:val="24"/>
        </w:rPr>
        <w:t>BF-13</w:t>
      </w:r>
      <w:r>
        <w:rPr>
          <w:rFonts w:ascii="Times New Roman" w:hAnsi="Times New Roman"/>
          <w:sz w:val="24"/>
        </w:rPr>
        <w:t xml:space="preserve"> : le responsable RH peut assigner des formations à des employés depuis l'espace RH, en lien avec les écarts de compétences identifiés.</w:t>
      </w:r>
    </w:p>
    <w:p>
      <w:pPr>
        <w:pStyle w:val="ListBullet"/>
        <w:ind w:left="567"/>
        <w:jc w:val="both"/>
      </w:pPr>
      <w:r>
        <w:rPr>
          <w:rFonts w:ascii="Times New Roman" w:hAnsi="Times New Roman"/>
          <w:b/>
          <w:sz w:val="24"/>
        </w:rPr>
        <w:t>BF-14</w:t>
      </w:r>
      <w:r>
        <w:rPr>
          <w:rFonts w:ascii="Times New Roman" w:hAnsi="Times New Roman"/>
          <w:sz w:val="24"/>
        </w:rPr>
        <w:t xml:space="preserve"> : l'employé accède au catalogue de formations, s'inscrit et suit sa progression.</w:t>
      </w:r>
    </w:p>
    <w:p>
      <w:pPr>
        <w:pStyle w:val="ListBullet"/>
        <w:ind w:left="567"/>
        <w:jc w:val="both"/>
      </w:pPr>
      <w:r>
        <w:rPr>
          <w:rFonts w:ascii="Times New Roman" w:hAnsi="Times New Roman"/>
          <w:b/>
          <w:sz w:val="24"/>
        </w:rPr>
        <w:t>BF-15</w:t>
      </w:r>
      <w:r>
        <w:rPr>
          <w:rFonts w:ascii="Times New Roman" w:hAnsi="Times New Roman"/>
          <w:sz w:val="24"/>
        </w:rPr>
        <w:t xml:space="preserve"> : l'accès au LMS s'effectue sans nouvelle authentification (SSO) depuis l'espace RH — une même identité numérique traverse les trois modules.</w:t>
      </w:r>
    </w:p>
    <w:p>
      <w:pPr>
        <w:pStyle w:val="Heading3"/>
      </w:pPr>
      <w:r>
        <w:rPr>
          <w:rFonts w:ascii="Times New Roman" w:hAnsi="Times New Roman"/>
          <w:b/>
          <w:sz w:val="24"/>
        </w:rPr>
        <w:t>3.3.4 Mécanismes de maintien du référentiel vivant</w:t>
      </w:r>
    </w:p>
    <w:p>
      <w:pPr>
        <w:spacing w:after="120"/>
        <w:ind w:firstLine="567"/>
        <w:jc w:val="both"/>
      </w:pPr>
      <w:r>
        <w:rPr>
          <w:rFonts w:ascii="Times New Roman" w:hAnsi="Times New Roman"/>
          <w:sz w:val="24"/>
        </w:rPr>
        <w:t>Les besoins suivants constituent le cœur de la contribution originale du système. Ils opérationnalisent directement la question de recherche posée au chapitre 2 : ce sont eux qui rendent le référentiel vivant.</w:t>
      </w:r>
    </w:p>
    <w:p>
      <w:pPr>
        <w:pStyle w:val="ListBullet"/>
        <w:ind w:left="567"/>
        <w:jc w:val="both"/>
      </w:pPr>
      <w:r>
        <w:rPr>
          <w:rFonts w:ascii="Times New Roman" w:hAnsi="Times New Roman"/>
          <w:b/>
          <w:sz w:val="24"/>
        </w:rPr>
        <w:t>BF-16 — Synchronisation formation → compétences</w:t>
      </w:r>
      <w:r>
        <w:rPr>
          <w:rFonts w:ascii="Times New Roman" w:hAnsi="Times New Roman"/>
          <w:sz w:val="24"/>
        </w:rPr>
        <w:t xml:space="preserve"> : à la complétion d'un cours dans le LMS, le niveau de la compétence correspondante est automatiquement relevé dans le profil du candidat ou de l'employé, sans intervention humaine et sans jamais abaisser un niveau déjà acquis. C'est le mécanisme par lequel la formation enrichit directement le référentiel.</w:t>
      </w:r>
    </w:p>
    <w:p>
      <w:pPr>
        <w:pStyle w:val="ListBullet"/>
        <w:ind w:left="567"/>
        <w:jc w:val="both"/>
      </w:pPr>
      <w:r>
        <w:rPr>
          <w:rFonts w:ascii="Times New Roman" w:hAnsi="Times New Roman"/>
          <w:b/>
          <w:sz w:val="24"/>
        </w:rPr>
        <w:t>BF-17 — Analyse de profil et suggestions d'évolution</w:t>
      </w:r>
      <w:r>
        <w:rPr>
          <w:rFonts w:ascii="Times New Roman" w:hAnsi="Times New Roman"/>
          <w:sz w:val="24"/>
        </w:rPr>
        <w:t xml:space="preserve"> : après avoir construit librement son profil, le candidat ou l'employé accède à une analyse de ses domaines de compétences. Le système identifie ses points forts, les compétences manquantes par rapport aux profils-types de son secteur et propose des formations pour combler les écarts. L'individu reste maître de ses choix : le système suggère, il décide. Les codes métiers servant à établir ces correspondances ne sont jamais exposés à l'utilisateur — seuls des libellés lisibles et des noms de compétences lui sont présentés.</w:t>
      </w:r>
    </w:p>
    <w:p>
      <w:pPr>
        <w:pStyle w:val="ListBullet"/>
        <w:ind w:left="567"/>
        <w:jc w:val="both"/>
      </w:pPr>
      <w:r>
        <w:rPr>
          <w:rFonts w:ascii="Times New Roman" w:hAnsi="Times New Roman"/>
          <w:b/>
          <w:sz w:val="24"/>
        </w:rPr>
        <w:t>BF-18 — Vue agrégée des compétences organisationnelles</w:t>
      </w:r>
      <w:r>
        <w:rPr>
          <w:rFonts w:ascii="Times New Roman" w:hAnsi="Times New Roman"/>
          <w:sz w:val="24"/>
        </w:rPr>
        <w:t xml:space="preserve"> : le système permet une analyse agrégée des compétences disponibles à l'échelle de l'organisation (répartition par domaine, niveaux moyens, écarts par rapport aux besoins des postes ouverts) — première brique d'un véritable pilotage GPEC.</w:t>
      </w:r>
    </w:p>
    <w:p>
      <w:pPr>
        <w:spacing w:before="160" w:after="160"/>
        <w:ind w:left="680" w:right="680"/>
        <w:jc w:val="both"/>
        <w:pBdr>
          <w:left w:val="single" w:sz="18" w:space="12" w:color="2E74B5"/>
        </w:pBdr>
      </w:pPr>
      <w:r>
        <w:rPr>
          <w:rFonts w:ascii="Times New Roman" w:hAnsi="Times New Roman"/>
          <w:b/>
          <w:color w:val="1F497D"/>
          <w:sz w:val="22"/>
        </w:rPr>
        <w:t xml:space="preserve">Traçabilité — </w:t>
      </w:r>
      <w:r>
        <w:rPr>
          <w:rFonts w:ascii="Times New Roman" w:hAnsi="Times New Roman"/>
          <w:i/>
          <w:sz w:val="22"/>
        </w:rPr>
        <w:t>Les besoins BF-06, BF-16 et BF-17 sont les trois exigences qui répondent directement à la question de recherche. BF-06 assure la continuité du référentiel entre candidat et employé ; BF-16 le met à jour par la formation ; BF-17 le transforme en outil de conseil. Ensemble, ils ferment la boucle décrite en 2.3.3.</w:t>
      </w:r>
    </w:p>
    <w:p>
      <w:pPr>
        <w:pStyle w:val="Heading3"/>
      </w:pPr>
      <w:r>
        <w:rPr>
          <w:rFonts w:ascii="Times New Roman" w:hAnsi="Times New Roman"/>
          <w:b/>
          <w:sz w:val="24"/>
        </w:rPr>
        <w:t>3.3.5 Architecture multi-tenant et isolation des données</w:t>
      </w:r>
    </w:p>
    <w:p>
      <w:pPr>
        <w:pStyle w:val="ListBullet"/>
        <w:ind w:left="567"/>
        <w:jc w:val="both"/>
      </w:pPr>
      <w:r>
        <w:rPr>
          <w:rFonts w:ascii="Times New Roman" w:hAnsi="Times New Roman"/>
          <w:b/>
          <w:sz w:val="24"/>
        </w:rPr>
        <w:t>BF-19</w:t>
      </w:r>
      <w:r>
        <w:rPr>
          <w:rFonts w:ascii="Times New Roman" w:hAnsi="Times New Roman"/>
          <w:sz w:val="24"/>
        </w:rPr>
        <w:t xml:space="preserve"> : la plateforme permet à plusieurs entités organisationnelles de coexister avec une isolation complète de leurs données, tout en partageant un référentiel de compétences commun et un vivier de candidats mutualisé.</w:t>
      </w:r>
    </w:p>
    <w:p>
      <w:pPr>
        <w:pStyle w:val="Heading2"/>
      </w:pPr>
      <w:r>
        <w:rPr>
          <w:rFonts w:ascii="Times New Roman" w:hAnsi="Times New Roman"/>
          <w:color w:val="2E74B5"/>
          <w:sz w:val="28"/>
        </w:rPr>
        <w:t>3.4 Besoins non fonctionnels</w:t>
      </w:r>
    </w:p>
    <w:p>
      <w:pPr>
        <w:spacing w:after="120"/>
        <w:ind w:firstLine="567"/>
        <w:jc w:val="both"/>
      </w:pPr>
      <w:r>
        <w:rPr>
          <w:rFonts w:ascii="Times New Roman" w:hAnsi="Times New Roman"/>
          <w:sz w:val="24"/>
        </w:rPr>
        <w:t>Aux besoins fonctionnels s'ajoutent des exigences de qualité qui conditionnent l'adoption du système dans un contexte d'organisation publique.</w:t>
      </w:r>
    </w:p>
    <w:p>
      <w:pPr>
        <w:pStyle w:val="ListBullet"/>
        <w:ind w:left="567"/>
        <w:jc w:val="both"/>
      </w:pPr>
      <w:r>
        <w:rPr>
          <w:rFonts w:ascii="Times New Roman" w:hAnsi="Times New Roman"/>
          <w:b/>
          <w:sz w:val="24"/>
        </w:rPr>
        <w:t>BNF-01 — Performance</w:t>
      </w:r>
      <w:r>
        <w:rPr>
          <w:rFonts w:ascii="Times New Roman" w:hAnsi="Times New Roman"/>
          <w:sz w:val="24"/>
        </w:rPr>
        <w:t xml:space="preserve"> : Les points d'accès de l'API répondent en moins de 500 ms pour 95 % des requêtes, sous une charge de 100 utilisateurs simultanés.</w:t>
      </w:r>
    </w:p>
    <w:p>
      <w:pPr>
        <w:pStyle w:val="ListBullet"/>
        <w:ind w:left="567"/>
        <w:jc w:val="both"/>
      </w:pPr>
      <w:r>
        <w:rPr>
          <w:rFonts w:ascii="Times New Roman" w:hAnsi="Times New Roman"/>
          <w:b/>
          <w:sz w:val="24"/>
        </w:rPr>
        <w:t>BNF-02 — Sécurité</w:t>
      </w:r>
      <w:r>
        <w:rPr>
          <w:rFonts w:ascii="Times New Roman" w:hAnsi="Times New Roman"/>
          <w:sz w:val="24"/>
        </w:rPr>
        <w:t xml:space="preserve"> : Les communications sont sécurisées par jeton JWT (HS256) ; les mots de passe sont hachés (bcrypt) ; l'isolation des données entre entités est garantie au niveau applicatif ; les vulnérabilités de l'OWASP Top 10 sont adressées dès la conception.</w:t>
      </w:r>
    </w:p>
    <w:p>
      <w:pPr>
        <w:pStyle w:val="ListBullet"/>
        <w:ind w:left="567"/>
        <w:jc w:val="both"/>
      </w:pPr>
      <w:r>
        <w:rPr>
          <w:rFonts w:ascii="Times New Roman" w:hAnsi="Times New Roman"/>
          <w:b/>
          <w:sz w:val="24"/>
        </w:rPr>
        <w:t>BNF-03 — Disponibilité</w:t>
      </w:r>
      <w:r>
        <w:rPr>
          <w:rFonts w:ascii="Times New Roman" w:hAnsi="Times New Roman"/>
          <w:sz w:val="24"/>
        </w:rPr>
        <w:t xml:space="preserve"> : La plateforme vise une disponibilité de 99,5 % en heures ouvrées.</w:t>
      </w:r>
    </w:p>
    <w:p>
      <w:pPr>
        <w:pStyle w:val="ListBullet"/>
        <w:ind w:left="567"/>
        <w:jc w:val="both"/>
      </w:pPr>
      <w:r>
        <w:rPr>
          <w:rFonts w:ascii="Times New Roman" w:hAnsi="Times New Roman"/>
          <w:b/>
          <w:sz w:val="24"/>
        </w:rPr>
        <w:t>BNF-04 — Maintenabilité</w:t>
      </w:r>
      <w:r>
        <w:rPr>
          <w:rFonts w:ascii="Times New Roman" w:hAnsi="Times New Roman"/>
          <w:sz w:val="24"/>
        </w:rPr>
        <w:t xml:space="preserve"> : L'architecture modulaire permet d'ajouter des fonctionnalités sans refactoring majeur ; les évolutions de la base de données sont versionnées (migrations Alembic).</w:t>
      </w:r>
    </w:p>
    <w:p>
      <w:pPr>
        <w:pStyle w:val="ListBullet"/>
        <w:ind w:left="567"/>
        <w:jc w:val="both"/>
      </w:pPr>
      <w:r>
        <w:rPr>
          <w:rFonts w:ascii="Times New Roman" w:hAnsi="Times New Roman"/>
          <w:b/>
          <w:sz w:val="24"/>
        </w:rPr>
        <w:t>BNF-05 — Utilisabilité</w:t>
      </w:r>
      <w:r>
        <w:rPr>
          <w:rFonts w:ascii="Times New Roman" w:hAnsi="Times New Roman"/>
          <w:sz w:val="24"/>
        </w:rPr>
        <w:t xml:space="preserve"> : L'interface est responsive (bureau et tablette) ; les parcours utilisateurs clés sont accessibles en moins de trois actions ; l'interface est en français.</w:t>
      </w:r>
    </w:p>
    <w:p>
      <w:pPr>
        <w:pStyle w:val="ListBullet"/>
        <w:ind w:left="567"/>
        <w:jc w:val="both"/>
      </w:pPr>
      <w:r>
        <w:rPr>
          <w:rFonts w:ascii="Times New Roman" w:hAnsi="Times New Roman"/>
          <w:b/>
          <w:sz w:val="24"/>
        </w:rPr>
        <w:t>BNF-06 — Évolutivité</w:t>
      </w:r>
      <w:r>
        <w:rPr>
          <w:rFonts w:ascii="Times New Roman" w:hAnsi="Times New Roman"/>
          <w:sz w:val="24"/>
        </w:rPr>
        <w:t xml:space="preserve"> : L'architecture anticipe l'intégration future de composantes NLP (extraction automatique des compétences depuis les CV), d'analytique prédictive (anticipation des besoins en compétences) et de l'exploitation des passerelles de mobilité du ROME.</w:t>
      </w:r>
    </w:p>
    <w:p>
      <w:pPr>
        <w:pStyle w:val="ListBullet"/>
        <w:ind w:left="567"/>
        <w:jc w:val="both"/>
      </w:pPr>
      <w:r>
        <w:rPr>
          <w:rFonts w:ascii="Times New Roman" w:hAnsi="Times New Roman"/>
          <w:b/>
          <w:sz w:val="24"/>
        </w:rPr>
        <w:t>BNF-07 — Interopérabilité</w:t>
      </w:r>
      <w:r>
        <w:rPr>
          <w:rFonts w:ascii="Times New Roman" w:hAnsi="Times New Roman"/>
          <w:sz w:val="24"/>
        </w:rPr>
        <w:t xml:space="preserve"> : Les trois modules communiquent via une API REST standardisée et une authentification JWT partagée, garantissant l'indépendance technologique de chaque module tout en assurant la cohérence du référentiel.</w:t>
      </w:r>
    </w:p>
    <w:p>
      <w:pPr>
        <w:pStyle w:val="Heading2"/>
      </w:pPr>
      <w:r>
        <w:rPr>
          <w:rFonts w:ascii="Times New Roman" w:hAnsi="Times New Roman"/>
          <w:color w:val="2E74B5"/>
          <w:sz w:val="28"/>
        </w:rPr>
        <w:t>3.5 Diagrammes des cas d'utilisation</w:t>
      </w:r>
    </w:p>
    <w:p>
      <w:pPr>
        <w:spacing w:after="120"/>
        <w:ind w:firstLine="567"/>
        <w:jc w:val="both"/>
      </w:pPr>
      <w:r>
        <w:rPr>
          <w:rFonts w:ascii="Times New Roman" w:hAnsi="Times New Roman"/>
          <w:sz w:val="24"/>
        </w:rPr>
        <w:t>Les besoins fonctionnels se traduisent en cas d'utilisation organisés selon les phases du cycle de compétences. Le diagramme général ci-dessous présente la vue macroscopique (tous acteurs) ; des diagrammes détaillés par module figurent en annexe.</w:t>
      </w:r>
    </w:p>
    <w:p>
      <w:pPr>
        <w:spacing w:before="160" w:after="160"/>
        <w:ind w:left="680" w:right="680"/>
        <w:jc w:val="both"/>
        <w:pBdr>
          <w:left w:val="single" w:sz="18" w:space="12" w:color="2E74B5"/>
        </w:pBdr>
      </w:pPr>
      <w:r>
        <w:rPr>
          <w:rFonts w:ascii="Times New Roman" w:hAnsi="Times New Roman"/>
          <w:b/>
          <w:color w:val="1F497D"/>
          <w:sz w:val="22"/>
        </w:rPr>
        <w:t xml:space="preserve">À insérer — </w:t>
      </w:r>
      <w:r>
        <w:rPr>
          <w:rFonts w:ascii="Times New Roman" w:hAnsi="Times New Roman"/>
          <w:i/>
          <w:sz w:val="22"/>
        </w:rPr>
        <w:t>Diagramme UML de cas d'utilisation général (tous acteurs, vue macro du cycle complet) et diagrammes détaillés par module (ATS, RH, LMS). Outils recommandés : PlantUML, draw.io ou Lucidchart.</w:t>
      </w:r>
    </w:p>
    <w:p>
      <w:pPr>
        <w:spacing w:after="120"/>
        <w:ind w:firstLine="567"/>
        <w:jc w:val="both"/>
      </w:pPr>
      <w:r>
        <w:rPr>
          <w:rFonts w:ascii="Times New Roman" w:hAnsi="Times New Roman"/>
          <w:sz w:val="24"/>
        </w:rPr>
        <w:t>Les principaux cas d'utilisation, regroupés par phase du cycle :</w:t>
      </w:r>
    </w:p>
    <w:p>
      <w:pPr>
        <w:pStyle w:val="ListBullet"/>
        <w:ind w:left="567"/>
        <w:jc w:val="both"/>
      </w:pPr>
      <w:r>
        <w:rPr>
          <w:rFonts w:ascii="Times New Roman" w:hAnsi="Times New Roman"/>
          <w:b/>
          <w:sz w:val="24"/>
        </w:rPr>
        <w:t>Transversal</w:t>
      </w:r>
      <w:r>
        <w:rPr>
          <w:rFonts w:ascii="Times New Roman" w:hAnsi="Times New Roman"/>
          <w:sz w:val="24"/>
        </w:rPr>
        <w:t xml:space="preserve"> : s'authentifier (SSO), gérer son profil, consulter l'analyse de son profil de compétences.</w:t>
      </w:r>
    </w:p>
    <w:p>
      <w:pPr>
        <w:pStyle w:val="ListBullet"/>
        <w:ind w:left="567"/>
        <w:jc w:val="both"/>
      </w:pPr>
      <w:r>
        <w:rPr>
          <w:rFonts w:ascii="Times New Roman" w:hAnsi="Times New Roman"/>
          <w:b/>
          <w:sz w:val="24"/>
        </w:rPr>
        <w:t>Phase Recrutement (ATS)</w:t>
      </w:r>
      <w:r>
        <w:rPr>
          <w:rFonts w:ascii="Times New Roman" w:hAnsi="Times New Roman"/>
          <w:sz w:val="24"/>
        </w:rPr>
        <w:t xml:space="preserve"> : publier une offre, postuler, évaluer un candidat (fit + potentiel), accepter ou refuser, déclencher le transfert automatique du profil.</w:t>
      </w:r>
    </w:p>
    <w:p>
      <w:pPr>
        <w:pStyle w:val="ListBullet"/>
        <w:ind w:left="567"/>
        <w:jc w:val="both"/>
      </w:pPr>
      <w:r>
        <w:rPr>
          <w:rFonts w:ascii="Times New Roman" w:hAnsi="Times New Roman"/>
          <w:b/>
          <w:sz w:val="24"/>
        </w:rPr>
        <w:t>Phase Emploi (RH)</w:t>
      </w:r>
      <w:r>
        <w:rPr>
          <w:rFonts w:ascii="Times New Roman" w:hAnsi="Times New Roman"/>
          <w:sz w:val="24"/>
        </w:rPr>
        <w:t xml:space="preserve"> : consulter l'organigramme, postuler à un poste interne, gérer les candidatures internes, assigner une formation.</w:t>
      </w:r>
    </w:p>
    <w:p>
      <w:pPr>
        <w:pStyle w:val="ListBullet"/>
        <w:ind w:left="567"/>
        <w:jc w:val="both"/>
      </w:pPr>
      <w:r>
        <w:rPr>
          <w:rFonts w:ascii="Times New Roman" w:hAnsi="Times New Roman"/>
          <w:b/>
          <w:sz w:val="24"/>
        </w:rPr>
        <w:t>Phase Formation (LMS)</w:t>
      </w:r>
      <w:r>
        <w:rPr>
          <w:rFonts w:ascii="Times New Roman" w:hAnsi="Times New Roman"/>
          <w:sz w:val="24"/>
        </w:rPr>
        <w:t xml:space="preserve"> : suivre une formation, compléter un quiz, obtenir la mise à jour automatique du niveau de compétence, consulter les suggestions d'évolution.</w:t>
      </w:r>
    </w:p>
    <w:p>
      <w:pPr>
        <w:pStyle w:val="Heading2"/>
      </w:pPr>
      <w:r>
        <w:rPr>
          <w:rFonts w:ascii="Times New Roman" w:hAnsi="Times New Roman"/>
          <w:color w:val="2E74B5"/>
          <w:sz w:val="28"/>
        </w:rPr>
        <w:t>3.6 Synthèse</w:t>
      </w:r>
    </w:p>
    <w:p>
      <w:pPr>
        <w:spacing w:after="120"/>
        <w:ind w:firstLine="567"/>
        <w:jc w:val="both"/>
      </w:pPr>
      <w:r>
        <w:rPr>
          <w:rFonts w:ascii="Times New Roman" w:hAnsi="Times New Roman"/>
          <w:sz w:val="24"/>
        </w:rPr>
        <w:t>Ce chapitre a converti la question de recherche en dix-neuf besoins fonctionnels et sept besoins non fonctionnels, traçables et organisés selon le cycle d'ingénierie des compétences. Trois d'entre eux — la portabilité du profil (BF-06), la synchronisation formation → compétences (BF-16) et l'analyse de profil (BF-17) — portent spécifiquement la contribution originale du projet en matérialisant le référentiel vivant. L'exigence de non-directivité, issue des ateliers de co-conception, garantit par ailleurs que ce référentiel reste au service de l'individu et non un instrument de prescription. Le chapitre suivant traduit ces besoins en choix d'architecture et en modèle de données.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