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240D" w:rsidRDefault="00B673F4">
      <w:pPr>
        <w:spacing w:after="100"/>
      </w:pPr>
      <w:r>
        <w:rPr>
          <w:rFonts w:ascii="Calibri" w:eastAsia="Calibri" w:hAnsi="Calibri" w:cs="Calibri"/>
          <w:b/>
          <w:bCs/>
          <w:color w:val="2EC4F1"/>
          <w:sz w:val="18"/>
          <w:szCs w:val="18"/>
        </w:rPr>
        <w:t xml:space="preserve">INDUSTRY </w:t>
      </w:r>
      <w:proofErr w:type="gramStart"/>
      <w:r>
        <w:rPr>
          <w:rFonts w:ascii="Calibri" w:eastAsia="Calibri" w:hAnsi="Calibri" w:cs="Calibri"/>
          <w:b/>
          <w:bCs/>
          <w:color w:val="2EC4F1"/>
          <w:sz w:val="18"/>
          <w:szCs w:val="18"/>
        </w:rPr>
        <w:t>DATA  ·</w:t>
      </w:r>
      <w:proofErr w:type="gramEnd"/>
      <w:r>
        <w:rPr>
          <w:rFonts w:ascii="Calibri" w:eastAsia="Calibri" w:hAnsi="Calibri" w:cs="Calibri"/>
          <w:b/>
          <w:bCs/>
          <w:color w:val="2EC4F1"/>
          <w:sz w:val="18"/>
          <w:szCs w:val="18"/>
        </w:rPr>
        <w:t xml:space="preserve">  2026 REPORT</w:t>
      </w:r>
    </w:p>
    <w:p w:rsidR="00B5240D" w:rsidRDefault="00B673F4">
      <w:pPr>
        <w:spacing w:after="200"/>
      </w:pPr>
      <w:r>
        <w:rPr>
          <w:rFonts w:ascii="Calibri" w:eastAsia="Calibri" w:hAnsi="Calibri" w:cs="Calibri"/>
          <w:b/>
          <w:bCs/>
          <w:color w:val="0B0F2B"/>
          <w:sz w:val="44"/>
          <w:szCs w:val="44"/>
        </w:rPr>
        <w:t>Agentic AI Adoption in 2026: What the Data Says About Where Your Business Stands</w:t>
      </w:r>
    </w:p>
    <w:p w:rsidR="00B5240D" w:rsidRDefault="00B673F4">
      <w:pPr>
        <w:spacing w:after="300"/>
      </w:pPr>
      <w:r>
        <w:rPr>
          <w:rFonts w:ascii="Calibri" w:eastAsia="Calibri" w:hAnsi="Calibri" w:cs="Calibri"/>
          <w:i/>
          <w:iCs/>
          <w:color w:val="5C5A78"/>
          <w:sz w:val="23"/>
          <w:szCs w:val="23"/>
        </w:rPr>
        <w:t>A look at how fast companies are deploying autonomous AI agents, where the real business impact is showing up first, and why so many projects still stall before they scale.</w:t>
      </w:r>
    </w:p>
    <w:p w:rsidR="00B5240D" w:rsidRDefault="00B673F4">
      <w:pPr>
        <w:spacing w:after="200" w:line="300" w:lineRule="auto"/>
      </w:pPr>
      <w:r>
        <w:rPr>
          <w:rFonts w:ascii="Calibri" w:eastAsia="Calibri" w:hAnsi="Calibri" w:cs="Calibri"/>
          <w:color w:val="1A1830"/>
          <w:sz w:val="22"/>
          <w:szCs w:val="22"/>
        </w:rPr>
        <w:t xml:space="preserve">Two years ago, “agentic AI” was mostly a research term. In 2026, it is a line item </w:t>
      </w:r>
      <w:r>
        <w:rPr>
          <w:rFonts w:ascii="Calibri" w:eastAsia="Calibri" w:hAnsi="Calibri" w:cs="Calibri"/>
          <w:color w:val="1A1830"/>
          <w:sz w:val="22"/>
          <w:szCs w:val="22"/>
        </w:rPr>
        <w:t xml:space="preserve">in enterprise budgets and, increasingly, in small business budgets too. Unlike a generative AI tool that responds to a single prompt, an agentic system plans a sequence of steps, makes decisions along the way, and carries a task through to completion with </w:t>
      </w:r>
      <w:r>
        <w:rPr>
          <w:rFonts w:ascii="Calibri" w:eastAsia="Calibri" w:hAnsi="Calibri" w:cs="Calibri"/>
          <w:color w:val="1A1830"/>
          <w:sz w:val="22"/>
          <w:szCs w:val="22"/>
        </w:rPr>
        <w:t>little or no human hand-holding. That distinction matters, because it is the difference between a chatbot that drafts an email and a system that reads a support ticket, resolves the issue, updates the customer record, and closes the loop on its own.</w:t>
      </w:r>
    </w:p>
    <w:p w:rsidR="00B5240D" w:rsidRDefault="00B673F4">
      <w:pPr>
        <w:spacing w:after="200" w:line="300" w:lineRule="auto"/>
      </w:pPr>
      <w:r>
        <w:rPr>
          <w:rFonts w:ascii="Calibri" w:eastAsia="Calibri" w:hAnsi="Calibri" w:cs="Calibri"/>
          <w:color w:val="1A1830"/>
          <w:sz w:val="22"/>
          <w:szCs w:val="22"/>
        </w:rPr>
        <w:t>A rece</w:t>
      </w:r>
      <w:r>
        <w:rPr>
          <w:rFonts w:ascii="Calibri" w:eastAsia="Calibri" w:hAnsi="Calibri" w:cs="Calibri"/>
          <w:color w:val="1A1830"/>
          <w:sz w:val="22"/>
          <w:szCs w:val="22"/>
        </w:rPr>
        <w:t>nt industry report pulling together data from McKinsey, Gartner, IDC, and other research groups, spanning more than 15,000 businesses, gives one of the clearest pictures yet of how this shift is actually playing out. Below, we break down the numbers that m</w:t>
      </w:r>
      <w:r>
        <w:rPr>
          <w:rFonts w:ascii="Calibri" w:eastAsia="Calibri" w:hAnsi="Calibri" w:cs="Calibri"/>
          <w:color w:val="1A1830"/>
          <w:sz w:val="22"/>
          <w:szCs w:val="22"/>
        </w:rPr>
        <w:t xml:space="preserve">atter most if you are trying to decide whether </w:t>
      </w:r>
      <w:r>
        <w:rPr>
          <w:rFonts w:ascii="Calibri" w:eastAsia="Calibri" w:hAnsi="Calibri" w:cs="Calibri"/>
          <w:color w:val="1A1830"/>
          <w:sz w:val="22"/>
          <w:szCs w:val="22"/>
        </w:rPr>
        <w:t xml:space="preserve">and how </w:t>
      </w:r>
      <w:r>
        <w:rPr>
          <w:rFonts w:ascii="Calibri" w:eastAsia="Calibri" w:hAnsi="Calibri" w:cs="Calibri"/>
          <w:color w:val="1A1830"/>
          <w:sz w:val="22"/>
          <w:szCs w:val="22"/>
        </w:rPr>
        <w:t>to bring agentic AI into your own operations.</w:t>
      </w:r>
    </w:p>
    <w:p w:rsidR="00B5240D" w:rsidRDefault="00B673F4">
      <w:pPr>
        <w:pBdr>
          <w:left w:val="single" w:sz="24" w:space="10" w:color="2EC4F1"/>
        </w:pBdr>
        <w:spacing w:before="380" w:after="160"/>
        <w:ind w:left="200"/>
      </w:pPr>
      <w:r>
        <w:rPr>
          <w:rFonts w:ascii="Calibri" w:eastAsia="Calibri" w:hAnsi="Calibri" w:cs="Calibri"/>
          <w:b/>
          <w:bCs/>
          <w:color w:val="0B0F2B"/>
          <w:sz w:val="30"/>
          <w:szCs w:val="30"/>
        </w:rPr>
        <w:t>What Counts as “Agentic AI”</w:t>
      </w:r>
    </w:p>
    <w:p w:rsidR="00B5240D" w:rsidRDefault="00B673F4">
      <w:pPr>
        <w:spacing w:after="200" w:line="300" w:lineRule="auto"/>
      </w:pPr>
      <w:r>
        <w:rPr>
          <w:rFonts w:ascii="Calibri" w:eastAsia="Calibri" w:hAnsi="Calibri" w:cs="Calibri"/>
          <w:color w:val="1A1830"/>
          <w:sz w:val="22"/>
          <w:szCs w:val="22"/>
        </w:rPr>
        <w:t>The report draws a clean line between generative and agentic AI. Generative AI produces content in response to a prompt. Ag</w:t>
      </w:r>
      <w:r>
        <w:rPr>
          <w:rFonts w:ascii="Calibri" w:eastAsia="Calibri" w:hAnsi="Calibri" w:cs="Calibri"/>
          <w:color w:val="1A1830"/>
          <w:sz w:val="22"/>
          <w:szCs w:val="22"/>
        </w:rPr>
        <w:t>entic AI independently plans, chains decisions together, and executes multi-step workflows from start to finish without ongoing direction. “Adoption” is counted the moment a company has deployed at least one agentic AI system in any capacity, from early ex</w:t>
      </w:r>
      <w:r>
        <w:rPr>
          <w:rFonts w:ascii="Calibri" w:eastAsia="Calibri" w:hAnsi="Calibri" w:cs="Calibri"/>
          <w:color w:val="1A1830"/>
          <w:sz w:val="22"/>
          <w:szCs w:val="22"/>
        </w:rPr>
        <w:t xml:space="preserve">perimentation through full production. “Abandonment” covers any cancelled program or individual project </w:t>
      </w:r>
      <w:r>
        <w:rPr>
          <w:rFonts w:ascii="Calibri" w:eastAsia="Calibri" w:hAnsi="Calibri" w:cs="Calibri"/>
          <w:color w:val="1A1830"/>
          <w:sz w:val="22"/>
          <w:szCs w:val="22"/>
        </w:rPr>
        <w:t>a company can kill one initiative while still pursuing others.</w:t>
      </w:r>
    </w:p>
    <w:p w:rsidR="00B5240D" w:rsidRDefault="00B673F4">
      <w:pPr>
        <w:pBdr>
          <w:left w:val="single" w:sz="24" w:space="10" w:color="2EC4F1"/>
        </w:pBdr>
        <w:spacing w:before="380" w:after="160"/>
        <w:ind w:left="200"/>
      </w:pPr>
      <w:r>
        <w:rPr>
          <w:rFonts w:ascii="Calibri" w:eastAsia="Calibri" w:hAnsi="Calibri" w:cs="Calibri"/>
          <w:b/>
          <w:bCs/>
          <w:color w:val="0B0F2B"/>
          <w:sz w:val="30"/>
          <w:szCs w:val="30"/>
        </w:rPr>
        <w:t>Adoption Is Highest at the Top, but Growing Fastest at the Bottom</w:t>
      </w:r>
    </w:p>
    <w:p w:rsidR="00B5240D" w:rsidRDefault="00B673F4">
      <w:pPr>
        <w:spacing w:after="200" w:line="300" w:lineRule="auto"/>
      </w:pPr>
      <w:r>
        <w:rPr>
          <w:rFonts w:ascii="Calibri" w:eastAsia="Calibri" w:hAnsi="Calibri" w:cs="Calibri"/>
          <w:color w:val="1A1830"/>
          <w:sz w:val="22"/>
          <w:szCs w:val="22"/>
        </w:rPr>
        <w:t>Enterprise organizati</w:t>
      </w:r>
      <w:r>
        <w:rPr>
          <w:rFonts w:ascii="Calibri" w:eastAsia="Calibri" w:hAnsi="Calibri" w:cs="Calibri"/>
          <w:color w:val="1A1830"/>
          <w:sz w:val="22"/>
          <w:szCs w:val="22"/>
        </w:rPr>
        <w:t xml:space="preserve">ons currently lead adoption at 25%, which tracks with their larger technical budgets and dedicated AI teams. But the more interesting trend is direction, not position: mid-market companies and </w:t>
      </w:r>
      <w:proofErr w:type="spellStart"/>
      <w:r>
        <w:rPr>
          <w:rFonts w:ascii="Calibri" w:eastAsia="Calibri" w:hAnsi="Calibri" w:cs="Calibri"/>
          <w:color w:val="1A1830"/>
          <w:sz w:val="22"/>
          <w:szCs w:val="22"/>
        </w:rPr>
        <w:t>SMBs</w:t>
      </w:r>
      <w:proofErr w:type="spellEnd"/>
      <w:r>
        <w:rPr>
          <w:rFonts w:ascii="Calibri" w:eastAsia="Calibri" w:hAnsi="Calibri" w:cs="Calibri"/>
          <w:color w:val="1A1830"/>
          <w:sz w:val="22"/>
          <w:szCs w:val="22"/>
        </w:rPr>
        <w:t xml:space="preserve"> are both posting higher year-over-year growth than enterpr</w:t>
      </w:r>
      <w:r>
        <w:rPr>
          <w:rFonts w:ascii="Calibri" w:eastAsia="Calibri" w:hAnsi="Calibri" w:cs="Calibri"/>
          <w:color w:val="1A1830"/>
          <w:sz w:val="22"/>
          <w:szCs w:val="22"/>
        </w:rPr>
        <w:t xml:space="preserve">ises. Turnkey platforms like Salesforce </w:t>
      </w:r>
      <w:proofErr w:type="spellStart"/>
      <w:r>
        <w:rPr>
          <w:rFonts w:ascii="Calibri" w:eastAsia="Calibri" w:hAnsi="Calibri" w:cs="Calibri"/>
          <w:color w:val="1A1830"/>
          <w:sz w:val="22"/>
          <w:szCs w:val="22"/>
        </w:rPr>
        <w:t>Agentforce</w:t>
      </w:r>
      <w:proofErr w:type="spellEnd"/>
      <w:r>
        <w:rPr>
          <w:rFonts w:ascii="Calibri" w:eastAsia="Calibri" w:hAnsi="Calibri" w:cs="Calibri"/>
          <w:color w:val="1A1830"/>
          <w:sz w:val="22"/>
          <w:szCs w:val="22"/>
        </w:rPr>
        <w:t xml:space="preserve"> and Microsoft </w:t>
      </w:r>
      <w:proofErr w:type="spellStart"/>
      <w:r>
        <w:rPr>
          <w:rFonts w:ascii="Calibri" w:eastAsia="Calibri" w:hAnsi="Calibri" w:cs="Calibri"/>
          <w:color w:val="1A1830"/>
          <w:sz w:val="22"/>
          <w:szCs w:val="22"/>
        </w:rPr>
        <w:t>Copilot</w:t>
      </w:r>
      <w:proofErr w:type="spellEnd"/>
      <w:r>
        <w:rPr>
          <w:rFonts w:ascii="Calibri" w:eastAsia="Calibri" w:hAnsi="Calibri" w:cs="Calibri"/>
          <w:color w:val="1A1830"/>
          <w:sz w:val="22"/>
          <w:szCs w:val="22"/>
        </w:rPr>
        <w:t xml:space="preserve"> Studio are doing a lot of the work here, making agentic deployment realistic for teams without a dedicated engineering department. Enterprises, meanwhile, are slowed down by the sheer</w:t>
      </w:r>
      <w:r>
        <w:rPr>
          <w:rFonts w:ascii="Calibri" w:eastAsia="Calibri" w:hAnsi="Calibri" w:cs="Calibri"/>
          <w:color w:val="1A1830"/>
          <w:sz w:val="22"/>
          <w:szCs w:val="22"/>
        </w:rPr>
        <w:t xml:space="preserve"> complexity of layering agents on top of legacy systems, fragmented data, and years of accumulated process.</w:t>
      </w:r>
    </w:p>
    <w:p w:rsidR="00B5240D" w:rsidRDefault="00B673F4">
      <w:pPr>
        <w:spacing w:after="200" w:line="300" w:lineRule="auto"/>
      </w:pPr>
      <w:r>
        <w:rPr>
          <w:rFonts w:ascii="Calibri" w:eastAsia="Calibri" w:hAnsi="Calibri" w:cs="Calibri"/>
          <w:color w:val="1A1830"/>
          <w:sz w:val="22"/>
          <w:szCs w:val="22"/>
        </w:rPr>
        <w:t>For a small or mid-sized business, this is the headline that matters most: the resource gap that used to make AI an enterprise-only game is closing.</w:t>
      </w:r>
      <w:r>
        <w:rPr>
          <w:rFonts w:ascii="Calibri" w:eastAsia="Calibri" w:hAnsi="Calibri" w:cs="Calibri"/>
          <w:color w:val="1A1830"/>
          <w:sz w:val="22"/>
          <w:szCs w:val="22"/>
        </w:rPr>
        <w:t xml:space="preserve"> The tools that made agentic AI expensive and technical two years ago are now packaged, supported, and priced for smaller teams.</w:t>
      </w:r>
    </w:p>
    <w:p w:rsidR="00B5240D" w:rsidRDefault="00B673F4">
      <w:pPr>
        <w:pBdr>
          <w:left w:val="single" w:sz="24" w:space="10" w:color="2EC4F1"/>
        </w:pBdr>
        <w:spacing w:before="380" w:after="160"/>
        <w:ind w:left="200"/>
      </w:pPr>
      <w:r>
        <w:rPr>
          <w:rFonts w:ascii="Calibri" w:eastAsia="Calibri" w:hAnsi="Calibri" w:cs="Calibri"/>
          <w:b/>
          <w:bCs/>
          <w:color w:val="0B0F2B"/>
          <w:sz w:val="30"/>
          <w:szCs w:val="30"/>
        </w:rPr>
        <w:lastRenderedPageBreak/>
        <w:t>Most Companies Are Still Experimenting</w:t>
      </w:r>
      <w:r w:rsidR="0058155D">
        <w:rPr>
          <w:rFonts w:ascii="Calibri" w:eastAsia="Calibri" w:hAnsi="Calibri" w:cs="Calibri"/>
          <w:b/>
          <w:bCs/>
          <w:color w:val="0B0F2B"/>
          <w:sz w:val="30"/>
          <w:szCs w:val="30"/>
          <w:lang w:val="en-US"/>
        </w:rPr>
        <w:t xml:space="preserve">. </w:t>
      </w:r>
      <w:r>
        <w:rPr>
          <w:rFonts w:ascii="Calibri" w:eastAsia="Calibri" w:hAnsi="Calibri" w:cs="Calibri"/>
          <w:b/>
          <w:bCs/>
          <w:color w:val="0B0F2B"/>
          <w:sz w:val="30"/>
          <w:szCs w:val="30"/>
        </w:rPr>
        <w:t>Not Deploying</w:t>
      </w:r>
    </w:p>
    <w:p w:rsidR="00B5240D" w:rsidRDefault="00B673F4">
      <w:pPr>
        <w:spacing w:after="200" w:line="300" w:lineRule="auto"/>
      </w:pPr>
      <w:r>
        <w:rPr>
          <w:rFonts w:ascii="Calibri" w:eastAsia="Calibri" w:hAnsi="Calibri" w:cs="Calibri"/>
          <w:color w:val="1A1830"/>
          <w:sz w:val="22"/>
          <w:szCs w:val="22"/>
        </w:rPr>
        <w:t>Adoption is one thing; maturity is another. Among the companies that hav</w:t>
      </w:r>
      <w:r>
        <w:rPr>
          <w:rFonts w:ascii="Calibri" w:eastAsia="Calibri" w:hAnsi="Calibri" w:cs="Calibri"/>
          <w:color w:val="1A1830"/>
          <w:sz w:val="22"/>
          <w:szCs w:val="22"/>
        </w:rPr>
        <w:t>e adopted agentic AI in some form, the large majority are still in the experimentation phase, regardless of size:</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1800"/>
        <w:gridCol w:w="1500"/>
      </w:tblGrid>
      <w:tr w:rsidR="00B5240D">
        <w:tblPrEx>
          <w:tblCellMar>
            <w:top w:w="0" w:type="dxa"/>
            <w:bottom w:w="0" w:type="dxa"/>
          </w:tblCellMar>
        </w:tblPrEx>
        <w:trPr>
          <w:tblHeader/>
        </w:trPr>
        <w:tc>
          <w:tcPr>
            <w:tcW w:w="3200" w:type="dxa"/>
            <w:shd w:val="clear" w:color="auto" w:fill="0B0F2B"/>
            <w:tcMar>
              <w:top w:w="100" w:type="dxa"/>
              <w:left w:w="120" w:type="dxa"/>
              <w:bottom w:w="100" w:type="dxa"/>
              <w:right w:w="120" w:type="dxa"/>
            </w:tcMar>
            <w:vAlign w:val="center"/>
          </w:tcPr>
          <w:p w:rsidR="00B5240D" w:rsidRDefault="00B673F4">
            <w:r>
              <w:rPr>
                <w:rFonts w:ascii="Calibri" w:eastAsia="Calibri" w:hAnsi="Calibri" w:cs="Calibri"/>
                <w:b/>
                <w:bCs/>
                <w:color w:val="FFFFFF"/>
                <w:sz w:val="19"/>
                <w:szCs w:val="19"/>
              </w:rPr>
              <w:t>Adoption Stage</w:t>
            </w:r>
          </w:p>
        </w:tc>
        <w:tc>
          <w:tcPr>
            <w:tcW w:w="1800" w:type="dxa"/>
            <w:shd w:val="clear" w:color="auto" w:fill="0B0F2B"/>
            <w:tcMar>
              <w:top w:w="100" w:type="dxa"/>
              <w:left w:w="120" w:type="dxa"/>
              <w:bottom w:w="100" w:type="dxa"/>
              <w:right w:w="120" w:type="dxa"/>
            </w:tcMar>
            <w:vAlign w:val="center"/>
          </w:tcPr>
          <w:p w:rsidR="00B5240D" w:rsidRDefault="00B673F4">
            <w:pPr>
              <w:jc w:val="center"/>
            </w:pPr>
            <w:r>
              <w:rPr>
                <w:rFonts w:ascii="Calibri" w:eastAsia="Calibri" w:hAnsi="Calibri" w:cs="Calibri"/>
                <w:b/>
                <w:bCs/>
                <w:color w:val="FFFFFF"/>
                <w:sz w:val="19"/>
                <w:szCs w:val="19"/>
              </w:rPr>
              <w:t>Enterprise</w:t>
            </w:r>
          </w:p>
        </w:tc>
        <w:tc>
          <w:tcPr>
            <w:tcW w:w="1800" w:type="dxa"/>
            <w:shd w:val="clear" w:color="auto" w:fill="0B0F2B"/>
            <w:tcMar>
              <w:top w:w="100" w:type="dxa"/>
              <w:left w:w="120" w:type="dxa"/>
              <w:bottom w:w="100" w:type="dxa"/>
              <w:right w:w="120" w:type="dxa"/>
            </w:tcMar>
            <w:vAlign w:val="center"/>
          </w:tcPr>
          <w:p w:rsidR="00B5240D" w:rsidRDefault="00B673F4">
            <w:pPr>
              <w:jc w:val="center"/>
            </w:pPr>
            <w:r>
              <w:rPr>
                <w:rFonts w:ascii="Calibri" w:eastAsia="Calibri" w:hAnsi="Calibri" w:cs="Calibri"/>
                <w:b/>
                <w:bCs/>
                <w:color w:val="FFFFFF"/>
                <w:sz w:val="19"/>
                <w:szCs w:val="19"/>
              </w:rPr>
              <w:t>Mid-Market</w:t>
            </w:r>
          </w:p>
        </w:tc>
        <w:tc>
          <w:tcPr>
            <w:tcW w:w="1500" w:type="dxa"/>
            <w:shd w:val="clear" w:color="auto" w:fill="0B0F2B"/>
            <w:tcMar>
              <w:top w:w="100" w:type="dxa"/>
              <w:left w:w="120" w:type="dxa"/>
              <w:bottom w:w="100" w:type="dxa"/>
              <w:right w:w="120" w:type="dxa"/>
            </w:tcMar>
            <w:vAlign w:val="center"/>
          </w:tcPr>
          <w:p w:rsidR="00B5240D" w:rsidRDefault="00B673F4">
            <w:pPr>
              <w:jc w:val="center"/>
            </w:pPr>
            <w:r>
              <w:rPr>
                <w:rFonts w:ascii="Calibri" w:eastAsia="Calibri" w:hAnsi="Calibri" w:cs="Calibri"/>
                <w:b/>
                <w:bCs/>
                <w:color w:val="FFFFFF"/>
                <w:sz w:val="19"/>
                <w:szCs w:val="19"/>
              </w:rPr>
              <w:t>SMB</w:t>
            </w:r>
          </w:p>
        </w:tc>
      </w:tr>
      <w:tr w:rsidR="00B5240D">
        <w:tblPrEx>
          <w:tblCellMar>
            <w:top w:w="0" w:type="dxa"/>
            <w:bottom w:w="0" w:type="dxa"/>
          </w:tblCellMar>
        </w:tblPrEx>
        <w:tc>
          <w:tcPr>
            <w:tcW w:w="3200" w:type="dxa"/>
            <w:shd w:val="clear" w:color="auto" w:fill="F5F4FC"/>
            <w:tcMar>
              <w:top w:w="90" w:type="dxa"/>
              <w:left w:w="120" w:type="dxa"/>
              <w:bottom w:w="90" w:type="dxa"/>
              <w:right w:w="120" w:type="dxa"/>
            </w:tcMar>
            <w:vAlign w:val="center"/>
          </w:tcPr>
          <w:p w:rsidR="00B5240D" w:rsidRDefault="00B673F4">
            <w:r>
              <w:rPr>
                <w:rFonts w:ascii="Calibri" w:eastAsia="Calibri" w:hAnsi="Calibri" w:cs="Calibri"/>
                <w:b/>
                <w:bCs/>
                <w:color w:val="1A1830"/>
                <w:sz w:val="19"/>
                <w:szCs w:val="19"/>
              </w:rPr>
              <w:t>Experimentation</w:t>
            </w:r>
          </w:p>
        </w:tc>
        <w:tc>
          <w:tcPr>
            <w:tcW w:w="1800" w:type="dxa"/>
            <w:shd w:val="clear" w:color="auto" w:fill="F5F4FC"/>
            <w:tcMar>
              <w:top w:w="90" w:type="dxa"/>
              <w:left w:w="120" w:type="dxa"/>
              <w:bottom w:w="90" w:type="dxa"/>
              <w:right w:w="120" w:type="dxa"/>
            </w:tcMar>
            <w:vAlign w:val="center"/>
          </w:tcPr>
          <w:p w:rsidR="00B5240D" w:rsidRDefault="00B673F4">
            <w:pPr>
              <w:jc w:val="center"/>
            </w:pPr>
            <w:r>
              <w:rPr>
                <w:rFonts w:ascii="Calibri" w:eastAsia="Calibri" w:hAnsi="Calibri" w:cs="Calibri"/>
                <w:color w:val="1A1830"/>
                <w:sz w:val="19"/>
                <w:szCs w:val="19"/>
              </w:rPr>
              <w:t>62%</w:t>
            </w:r>
          </w:p>
        </w:tc>
        <w:tc>
          <w:tcPr>
            <w:tcW w:w="1800" w:type="dxa"/>
            <w:shd w:val="clear" w:color="auto" w:fill="F5F4FC"/>
            <w:tcMar>
              <w:top w:w="90" w:type="dxa"/>
              <w:left w:w="120" w:type="dxa"/>
              <w:bottom w:w="90" w:type="dxa"/>
              <w:right w:w="120" w:type="dxa"/>
            </w:tcMar>
            <w:vAlign w:val="center"/>
          </w:tcPr>
          <w:p w:rsidR="00B5240D" w:rsidRDefault="00B673F4">
            <w:pPr>
              <w:jc w:val="center"/>
            </w:pPr>
            <w:r>
              <w:rPr>
                <w:rFonts w:ascii="Calibri" w:eastAsia="Calibri" w:hAnsi="Calibri" w:cs="Calibri"/>
                <w:color w:val="1A1830"/>
                <w:sz w:val="19"/>
                <w:szCs w:val="19"/>
              </w:rPr>
              <w:t>70%</w:t>
            </w:r>
          </w:p>
        </w:tc>
        <w:tc>
          <w:tcPr>
            <w:tcW w:w="1500" w:type="dxa"/>
            <w:shd w:val="clear" w:color="auto" w:fill="F5F4FC"/>
            <w:tcMar>
              <w:top w:w="90" w:type="dxa"/>
              <w:left w:w="120" w:type="dxa"/>
              <w:bottom w:w="90" w:type="dxa"/>
              <w:right w:w="120" w:type="dxa"/>
            </w:tcMar>
            <w:vAlign w:val="center"/>
          </w:tcPr>
          <w:p w:rsidR="00B5240D" w:rsidRDefault="00B673F4">
            <w:pPr>
              <w:jc w:val="center"/>
            </w:pPr>
            <w:r>
              <w:rPr>
                <w:rFonts w:ascii="Calibri" w:eastAsia="Calibri" w:hAnsi="Calibri" w:cs="Calibri"/>
                <w:color w:val="1A1830"/>
                <w:sz w:val="19"/>
                <w:szCs w:val="19"/>
              </w:rPr>
              <w:t>80%</w:t>
            </w:r>
          </w:p>
        </w:tc>
      </w:tr>
      <w:tr w:rsidR="00B5240D">
        <w:tblPrEx>
          <w:tblCellMar>
            <w:top w:w="0" w:type="dxa"/>
            <w:bottom w:w="0" w:type="dxa"/>
          </w:tblCellMar>
        </w:tblPrEx>
        <w:tc>
          <w:tcPr>
            <w:tcW w:w="3200" w:type="dxa"/>
            <w:shd w:val="clear" w:color="auto" w:fill="FFFFFF"/>
            <w:tcMar>
              <w:top w:w="90" w:type="dxa"/>
              <w:left w:w="120" w:type="dxa"/>
              <w:bottom w:w="90" w:type="dxa"/>
              <w:right w:w="120" w:type="dxa"/>
            </w:tcMar>
            <w:vAlign w:val="center"/>
          </w:tcPr>
          <w:p w:rsidR="00B5240D" w:rsidRDefault="00B673F4">
            <w:r>
              <w:rPr>
                <w:rFonts w:ascii="Calibri" w:eastAsia="Calibri" w:hAnsi="Calibri" w:cs="Calibri"/>
                <w:b/>
                <w:bCs/>
                <w:color w:val="1A1830"/>
                <w:sz w:val="19"/>
                <w:szCs w:val="19"/>
              </w:rPr>
              <w:t>Partially Deployed</w:t>
            </w:r>
          </w:p>
        </w:tc>
        <w:tc>
          <w:tcPr>
            <w:tcW w:w="1800" w:type="dxa"/>
            <w:shd w:val="clear" w:color="auto" w:fill="FFFFFF"/>
            <w:tcMar>
              <w:top w:w="90" w:type="dxa"/>
              <w:left w:w="120" w:type="dxa"/>
              <w:bottom w:w="90" w:type="dxa"/>
              <w:right w:w="120" w:type="dxa"/>
            </w:tcMar>
            <w:vAlign w:val="center"/>
          </w:tcPr>
          <w:p w:rsidR="00B5240D" w:rsidRDefault="00B673F4">
            <w:pPr>
              <w:jc w:val="center"/>
            </w:pPr>
            <w:r>
              <w:rPr>
                <w:rFonts w:ascii="Calibri" w:eastAsia="Calibri" w:hAnsi="Calibri" w:cs="Calibri"/>
                <w:color w:val="1A1830"/>
                <w:sz w:val="19"/>
                <w:szCs w:val="19"/>
              </w:rPr>
              <w:t>15%</w:t>
            </w:r>
          </w:p>
        </w:tc>
        <w:tc>
          <w:tcPr>
            <w:tcW w:w="1800" w:type="dxa"/>
            <w:shd w:val="clear" w:color="auto" w:fill="FFFFFF"/>
            <w:tcMar>
              <w:top w:w="90" w:type="dxa"/>
              <w:left w:w="120" w:type="dxa"/>
              <w:bottom w:w="90" w:type="dxa"/>
              <w:right w:w="120" w:type="dxa"/>
            </w:tcMar>
            <w:vAlign w:val="center"/>
          </w:tcPr>
          <w:p w:rsidR="00B5240D" w:rsidRDefault="00B673F4">
            <w:pPr>
              <w:jc w:val="center"/>
            </w:pPr>
            <w:r>
              <w:rPr>
                <w:rFonts w:ascii="Calibri" w:eastAsia="Calibri" w:hAnsi="Calibri" w:cs="Calibri"/>
                <w:color w:val="1A1830"/>
                <w:sz w:val="19"/>
                <w:szCs w:val="19"/>
              </w:rPr>
              <w:t>18%</w:t>
            </w:r>
          </w:p>
        </w:tc>
        <w:tc>
          <w:tcPr>
            <w:tcW w:w="1500" w:type="dxa"/>
            <w:shd w:val="clear" w:color="auto" w:fill="FFFFFF"/>
            <w:tcMar>
              <w:top w:w="90" w:type="dxa"/>
              <w:left w:w="120" w:type="dxa"/>
              <w:bottom w:w="90" w:type="dxa"/>
              <w:right w:w="120" w:type="dxa"/>
            </w:tcMar>
            <w:vAlign w:val="center"/>
          </w:tcPr>
          <w:p w:rsidR="00B5240D" w:rsidRDefault="00B673F4">
            <w:pPr>
              <w:jc w:val="center"/>
            </w:pPr>
            <w:r>
              <w:rPr>
                <w:rFonts w:ascii="Calibri" w:eastAsia="Calibri" w:hAnsi="Calibri" w:cs="Calibri"/>
                <w:color w:val="1A1830"/>
                <w:sz w:val="19"/>
                <w:szCs w:val="19"/>
              </w:rPr>
              <w:t>12%</w:t>
            </w:r>
          </w:p>
        </w:tc>
      </w:tr>
      <w:tr w:rsidR="00B5240D">
        <w:tblPrEx>
          <w:tblCellMar>
            <w:top w:w="0" w:type="dxa"/>
            <w:bottom w:w="0" w:type="dxa"/>
          </w:tblCellMar>
        </w:tblPrEx>
        <w:tc>
          <w:tcPr>
            <w:tcW w:w="3200" w:type="dxa"/>
            <w:shd w:val="clear" w:color="auto" w:fill="F5F4FC"/>
            <w:tcMar>
              <w:top w:w="90" w:type="dxa"/>
              <w:left w:w="120" w:type="dxa"/>
              <w:bottom w:w="90" w:type="dxa"/>
              <w:right w:w="120" w:type="dxa"/>
            </w:tcMar>
            <w:vAlign w:val="center"/>
          </w:tcPr>
          <w:p w:rsidR="00B5240D" w:rsidRDefault="00B673F4">
            <w:r>
              <w:rPr>
                <w:rFonts w:ascii="Calibri" w:eastAsia="Calibri" w:hAnsi="Calibri" w:cs="Calibri"/>
                <w:b/>
                <w:bCs/>
                <w:color w:val="1A1830"/>
                <w:sz w:val="19"/>
                <w:szCs w:val="19"/>
              </w:rPr>
              <w:t>Fully Deployed</w:t>
            </w:r>
          </w:p>
        </w:tc>
        <w:tc>
          <w:tcPr>
            <w:tcW w:w="1800" w:type="dxa"/>
            <w:shd w:val="clear" w:color="auto" w:fill="F5F4FC"/>
            <w:tcMar>
              <w:top w:w="90" w:type="dxa"/>
              <w:left w:w="120" w:type="dxa"/>
              <w:bottom w:w="90" w:type="dxa"/>
              <w:right w:w="120" w:type="dxa"/>
            </w:tcMar>
            <w:vAlign w:val="center"/>
          </w:tcPr>
          <w:p w:rsidR="00B5240D" w:rsidRDefault="00B673F4">
            <w:pPr>
              <w:jc w:val="center"/>
            </w:pPr>
            <w:r>
              <w:rPr>
                <w:rFonts w:ascii="Calibri" w:eastAsia="Calibri" w:hAnsi="Calibri" w:cs="Calibri"/>
                <w:color w:val="1A1830"/>
                <w:sz w:val="19"/>
                <w:szCs w:val="19"/>
              </w:rPr>
              <w:t>10%</w:t>
            </w:r>
          </w:p>
        </w:tc>
        <w:tc>
          <w:tcPr>
            <w:tcW w:w="1800" w:type="dxa"/>
            <w:shd w:val="clear" w:color="auto" w:fill="F5F4FC"/>
            <w:tcMar>
              <w:top w:w="90" w:type="dxa"/>
              <w:left w:w="120" w:type="dxa"/>
              <w:bottom w:w="90" w:type="dxa"/>
              <w:right w:w="120" w:type="dxa"/>
            </w:tcMar>
            <w:vAlign w:val="center"/>
          </w:tcPr>
          <w:p w:rsidR="00B5240D" w:rsidRDefault="00B673F4">
            <w:pPr>
              <w:jc w:val="center"/>
            </w:pPr>
            <w:r>
              <w:rPr>
                <w:rFonts w:ascii="Calibri" w:eastAsia="Calibri" w:hAnsi="Calibri" w:cs="Calibri"/>
                <w:color w:val="1A1830"/>
                <w:sz w:val="19"/>
                <w:szCs w:val="19"/>
              </w:rPr>
              <w:t>7%</w:t>
            </w:r>
          </w:p>
        </w:tc>
        <w:tc>
          <w:tcPr>
            <w:tcW w:w="1500" w:type="dxa"/>
            <w:shd w:val="clear" w:color="auto" w:fill="F5F4FC"/>
            <w:tcMar>
              <w:top w:w="90" w:type="dxa"/>
              <w:left w:w="120" w:type="dxa"/>
              <w:bottom w:w="90" w:type="dxa"/>
              <w:right w:w="120" w:type="dxa"/>
            </w:tcMar>
            <w:vAlign w:val="center"/>
          </w:tcPr>
          <w:p w:rsidR="00B5240D" w:rsidRDefault="00B673F4">
            <w:pPr>
              <w:jc w:val="center"/>
            </w:pPr>
            <w:r>
              <w:rPr>
                <w:rFonts w:ascii="Calibri" w:eastAsia="Calibri" w:hAnsi="Calibri" w:cs="Calibri"/>
                <w:color w:val="1A1830"/>
                <w:sz w:val="19"/>
                <w:szCs w:val="19"/>
              </w:rPr>
              <w:t>5%</w:t>
            </w:r>
          </w:p>
        </w:tc>
      </w:tr>
      <w:tr w:rsidR="00B5240D">
        <w:tblPrEx>
          <w:tblCellMar>
            <w:top w:w="0" w:type="dxa"/>
            <w:bottom w:w="0" w:type="dxa"/>
          </w:tblCellMar>
        </w:tblPrEx>
        <w:tc>
          <w:tcPr>
            <w:tcW w:w="3200" w:type="dxa"/>
            <w:shd w:val="clear" w:color="auto" w:fill="FFFFFF"/>
            <w:tcMar>
              <w:top w:w="90" w:type="dxa"/>
              <w:left w:w="120" w:type="dxa"/>
              <w:bottom w:w="90" w:type="dxa"/>
              <w:right w:w="120" w:type="dxa"/>
            </w:tcMar>
            <w:vAlign w:val="center"/>
          </w:tcPr>
          <w:p w:rsidR="00B5240D" w:rsidRDefault="00B673F4">
            <w:r>
              <w:rPr>
                <w:rFonts w:ascii="Calibri" w:eastAsia="Calibri" w:hAnsi="Calibri" w:cs="Calibri"/>
                <w:b/>
                <w:bCs/>
                <w:color w:val="1A1830"/>
                <w:sz w:val="19"/>
                <w:szCs w:val="19"/>
              </w:rPr>
              <w:t>Fully Deployed at Scale</w:t>
            </w:r>
          </w:p>
        </w:tc>
        <w:tc>
          <w:tcPr>
            <w:tcW w:w="1800" w:type="dxa"/>
            <w:shd w:val="clear" w:color="auto" w:fill="FFFFFF"/>
            <w:tcMar>
              <w:top w:w="90" w:type="dxa"/>
              <w:left w:w="120" w:type="dxa"/>
              <w:bottom w:w="90" w:type="dxa"/>
              <w:right w:w="120" w:type="dxa"/>
            </w:tcMar>
            <w:vAlign w:val="center"/>
          </w:tcPr>
          <w:p w:rsidR="00B5240D" w:rsidRDefault="00B673F4">
            <w:pPr>
              <w:jc w:val="center"/>
            </w:pPr>
            <w:r>
              <w:rPr>
                <w:rFonts w:ascii="Calibri" w:eastAsia="Calibri" w:hAnsi="Calibri" w:cs="Calibri"/>
                <w:color w:val="1A1830"/>
                <w:sz w:val="19"/>
                <w:szCs w:val="19"/>
              </w:rPr>
              <w:t>13%</w:t>
            </w:r>
          </w:p>
        </w:tc>
        <w:tc>
          <w:tcPr>
            <w:tcW w:w="1800" w:type="dxa"/>
            <w:shd w:val="clear" w:color="auto" w:fill="FFFFFF"/>
            <w:tcMar>
              <w:top w:w="90" w:type="dxa"/>
              <w:left w:w="120" w:type="dxa"/>
              <w:bottom w:w="90" w:type="dxa"/>
              <w:right w:w="120" w:type="dxa"/>
            </w:tcMar>
            <w:vAlign w:val="center"/>
          </w:tcPr>
          <w:p w:rsidR="00B5240D" w:rsidRDefault="00B673F4">
            <w:pPr>
              <w:jc w:val="center"/>
            </w:pPr>
            <w:r>
              <w:rPr>
                <w:rFonts w:ascii="Calibri" w:eastAsia="Calibri" w:hAnsi="Calibri" w:cs="Calibri"/>
                <w:color w:val="1A1830"/>
                <w:sz w:val="19"/>
                <w:szCs w:val="19"/>
              </w:rPr>
              <w:t>5%</w:t>
            </w:r>
          </w:p>
        </w:tc>
        <w:tc>
          <w:tcPr>
            <w:tcW w:w="1500" w:type="dxa"/>
            <w:shd w:val="clear" w:color="auto" w:fill="FFFFFF"/>
            <w:tcMar>
              <w:top w:w="90" w:type="dxa"/>
              <w:left w:w="120" w:type="dxa"/>
              <w:bottom w:w="90" w:type="dxa"/>
              <w:right w:w="120" w:type="dxa"/>
            </w:tcMar>
            <w:vAlign w:val="center"/>
          </w:tcPr>
          <w:p w:rsidR="00B5240D" w:rsidRDefault="00B673F4">
            <w:pPr>
              <w:jc w:val="center"/>
            </w:pPr>
            <w:r>
              <w:rPr>
                <w:rFonts w:ascii="Calibri" w:eastAsia="Calibri" w:hAnsi="Calibri" w:cs="Calibri"/>
                <w:color w:val="1A1830"/>
                <w:sz w:val="19"/>
                <w:szCs w:val="19"/>
              </w:rPr>
              <w:t>3%</w:t>
            </w:r>
          </w:p>
        </w:tc>
      </w:tr>
    </w:tbl>
    <w:p w:rsidR="00B5240D" w:rsidRDefault="00B673F4">
      <w:pPr>
        <w:spacing w:after="260"/>
      </w:pPr>
      <w:r>
        <w:rPr>
          <w:rFonts w:ascii="Calibri" w:eastAsia="Calibri" w:hAnsi="Calibri" w:cs="Calibri"/>
          <w:i/>
          <w:iCs/>
          <w:color w:val="5C5A78"/>
          <w:sz w:val="18"/>
          <w:szCs w:val="18"/>
        </w:rPr>
        <w:t>Distribution of deployment stages among companies that have already adopted agentic AI, by company size, 2026.</w:t>
      </w:r>
    </w:p>
    <w:p w:rsidR="00B5240D" w:rsidRDefault="00B673F4">
      <w:pPr>
        <w:spacing w:after="200" w:line="300" w:lineRule="auto"/>
      </w:pPr>
      <w:r>
        <w:rPr>
          <w:rFonts w:ascii="Calibri" w:eastAsia="Calibri" w:hAnsi="Calibri" w:cs="Calibri"/>
          <w:color w:val="1A1830"/>
          <w:sz w:val="22"/>
          <w:szCs w:val="22"/>
        </w:rPr>
        <w:t xml:space="preserve">A few patterns stand out. First, the gap between experimentation and any real deployment is wide across every company size </w:t>
      </w:r>
      <w:proofErr w:type="gramStart"/>
      <w:r>
        <w:rPr>
          <w:rFonts w:ascii="Calibri" w:eastAsia="Calibri" w:hAnsi="Calibri" w:cs="Calibri"/>
          <w:color w:val="1A1830"/>
          <w:sz w:val="22"/>
          <w:szCs w:val="22"/>
        </w:rPr>
        <w:t>businesses</w:t>
      </w:r>
      <w:proofErr w:type="gramEnd"/>
      <w:r>
        <w:rPr>
          <w:rFonts w:ascii="Calibri" w:eastAsia="Calibri" w:hAnsi="Calibri" w:cs="Calibri"/>
          <w:color w:val="1A1830"/>
          <w:sz w:val="22"/>
          <w:szCs w:val="22"/>
        </w:rPr>
        <w:t xml:space="preserve"> are being cautious, not reckless, about how fast they move. Second, mid-market companies actually lead in partial deploy</w:t>
      </w:r>
      <w:r>
        <w:rPr>
          <w:rFonts w:ascii="Calibri" w:eastAsia="Calibri" w:hAnsi="Calibri" w:cs="Calibri"/>
          <w:color w:val="1A1830"/>
          <w:sz w:val="22"/>
          <w:szCs w:val="22"/>
        </w:rPr>
        <w:t xml:space="preserve">ment, likely because they clear fewer approval layers than enterprises while having more budget than </w:t>
      </w:r>
      <w:proofErr w:type="spellStart"/>
      <w:r>
        <w:rPr>
          <w:rFonts w:ascii="Calibri" w:eastAsia="Calibri" w:hAnsi="Calibri" w:cs="Calibri"/>
          <w:color w:val="1A1830"/>
          <w:sz w:val="22"/>
          <w:szCs w:val="22"/>
        </w:rPr>
        <w:t>SMBs</w:t>
      </w:r>
      <w:proofErr w:type="spellEnd"/>
      <w:r>
        <w:rPr>
          <w:rFonts w:ascii="Calibri" w:eastAsia="Calibri" w:hAnsi="Calibri" w:cs="Calibri"/>
          <w:color w:val="1A1830"/>
          <w:sz w:val="22"/>
          <w:szCs w:val="22"/>
        </w:rPr>
        <w:t>. Third, scale is where resources really show: enterprises are reaching full deployment at scale at more than double the rate of mid-market firms.</w:t>
      </w:r>
    </w:p>
    <w:p w:rsidR="00B5240D" w:rsidRDefault="00B673F4">
      <w:pPr>
        <w:pBdr>
          <w:left w:val="single" w:sz="24" w:space="10" w:color="2EC4F1"/>
        </w:pBdr>
        <w:spacing w:before="380" w:after="160"/>
        <w:ind w:left="200"/>
      </w:pPr>
      <w:r>
        <w:rPr>
          <w:rFonts w:ascii="Calibri" w:eastAsia="Calibri" w:hAnsi="Calibri" w:cs="Calibri"/>
          <w:b/>
          <w:bCs/>
          <w:color w:val="0B0F2B"/>
          <w:sz w:val="30"/>
          <w:szCs w:val="30"/>
        </w:rPr>
        <w:t>Wher</w:t>
      </w:r>
      <w:r>
        <w:rPr>
          <w:rFonts w:ascii="Calibri" w:eastAsia="Calibri" w:hAnsi="Calibri" w:cs="Calibri"/>
          <w:b/>
          <w:bCs/>
          <w:color w:val="0B0F2B"/>
          <w:sz w:val="30"/>
          <w:szCs w:val="30"/>
        </w:rPr>
        <w:t>e Agentic AI Is Actually Delivering Results</w:t>
      </w:r>
    </w:p>
    <w:p w:rsidR="00B5240D" w:rsidRDefault="00B673F4">
      <w:pPr>
        <w:spacing w:after="200" w:line="300" w:lineRule="auto"/>
      </w:pPr>
      <w:r>
        <w:rPr>
          <w:rFonts w:ascii="Calibri" w:eastAsia="Calibri" w:hAnsi="Calibri" w:cs="Calibri"/>
          <w:color w:val="1A1830"/>
          <w:sz w:val="22"/>
          <w:szCs w:val="22"/>
        </w:rPr>
        <w:t>Adoption rate by use case, among enterprise and mid-market companies with the most mature deployments, tells the clearest story about where agentic AI already pays for itself:</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2688"/>
        <w:gridCol w:w="1512"/>
        <w:gridCol w:w="900"/>
      </w:tblGrid>
      <w:tr w:rsidR="00B5240D">
        <w:tblPrEx>
          <w:tblCellMar>
            <w:top w:w="0" w:type="dxa"/>
            <w:bottom w:w="0" w:type="dxa"/>
          </w:tblCellMar>
        </w:tblPrEx>
        <w:trPr>
          <w:trHeight w:val="420"/>
        </w:trPr>
        <w:tc>
          <w:tcPr>
            <w:tcW w:w="3100" w:type="dxa"/>
            <w:tcBorders>
              <w:top w:val="none" w:sz="0" w:space="0" w:color="FFFFFF"/>
              <w:left w:val="none" w:sz="0" w:space="0" w:color="FFFFFF"/>
              <w:bottom w:val="none" w:sz="0" w:space="0" w:color="FFFFFF"/>
              <w:right w:val="none" w:sz="0" w:space="0" w:color="FFFFFF"/>
            </w:tcBorders>
            <w:vAlign w:val="center"/>
          </w:tcPr>
          <w:p w:rsidR="00B5240D" w:rsidRDefault="00B673F4">
            <w:r>
              <w:rPr>
                <w:rFonts w:ascii="Calibri" w:eastAsia="Calibri" w:hAnsi="Calibri" w:cs="Calibri"/>
                <w:b/>
                <w:bCs/>
                <w:color w:val="1A1830"/>
                <w:sz w:val="19"/>
                <w:szCs w:val="19"/>
              </w:rPr>
              <w:t>Customer Service Automation</w:t>
            </w:r>
          </w:p>
        </w:tc>
        <w:tc>
          <w:tcPr>
            <w:tcW w:w="2688" w:type="dxa"/>
            <w:tcBorders>
              <w:top w:val="none" w:sz="0" w:space="0" w:color="FFFFFF"/>
              <w:left w:val="none" w:sz="0" w:space="0" w:color="FFFFFF"/>
              <w:bottom w:val="none" w:sz="0" w:space="0" w:color="FFFFFF"/>
              <w:right w:val="none" w:sz="0" w:space="0" w:color="FFFFFF"/>
            </w:tcBorders>
            <w:shd w:val="clear" w:color="auto" w:fill="FF3D6E"/>
          </w:tcPr>
          <w:p w:rsidR="00B5240D" w:rsidRDefault="00B5240D"/>
        </w:tc>
        <w:tc>
          <w:tcPr>
            <w:tcW w:w="1512" w:type="dxa"/>
            <w:tcBorders>
              <w:top w:val="none" w:sz="0" w:space="0" w:color="FFFFFF"/>
              <w:left w:val="none" w:sz="0" w:space="0" w:color="FFFFFF"/>
              <w:bottom w:val="none" w:sz="0" w:space="0" w:color="FFFFFF"/>
              <w:right w:val="none" w:sz="0" w:space="0" w:color="FFFFFF"/>
            </w:tcBorders>
            <w:shd w:val="clear" w:color="auto" w:fill="ECEAF7"/>
          </w:tcPr>
          <w:p w:rsidR="00B5240D" w:rsidRDefault="00B5240D"/>
        </w:tc>
        <w:tc>
          <w:tcPr>
            <w:tcW w:w="900" w:type="dxa"/>
            <w:tcBorders>
              <w:top w:val="none" w:sz="0" w:space="0" w:color="FFFFFF"/>
              <w:left w:val="none" w:sz="0" w:space="0" w:color="FFFFFF"/>
              <w:bottom w:val="none" w:sz="0" w:space="0" w:color="FFFFFF"/>
              <w:right w:val="none" w:sz="0" w:space="0" w:color="FFFFFF"/>
            </w:tcBorders>
            <w:vAlign w:val="center"/>
          </w:tcPr>
          <w:p w:rsidR="00B5240D" w:rsidRDefault="00B673F4">
            <w:pPr>
              <w:jc w:val="right"/>
            </w:pPr>
            <w:r>
              <w:rPr>
                <w:rFonts w:ascii="Calibri" w:eastAsia="Calibri" w:hAnsi="Calibri" w:cs="Calibri"/>
                <w:b/>
                <w:bCs/>
                <w:color w:val="0B0F2B"/>
              </w:rPr>
              <w:t>64%</w:t>
            </w:r>
          </w:p>
        </w:tc>
      </w:tr>
    </w:tbl>
    <w:p w:rsidR="00B5240D" w:rsidRDefault="00B673F4">
      <w:pPr>
        <w:spacing w:after="260"/>
      </w:pPr>
      <w:r>
        <w:rPr>
          <w:rFonts w:ascii="Calibri" w:eastAsia="Calibri" w:hAnsi="Calibri" w:cs="Calibri"/>
          <w:i/>
          <w:iCs/>
          <w:color w:val="5C5A78"/>
          <w:sz w:val="18"/>
          <w:szCs w:val="18"/>
        </w:rPr>
        <w:t>82% of interactions handled autonomously · 93% report more personalized service</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2436"/>
        <w:gridCol w:w="1764"/>
        <w:gridCol w:w="900"/>
      </w:tblGrid>
      <w:tr w:rsidR="00B5240D">
        <w:tblPrEx>
          <w:tblCellMar>
            <w:top w:w="0" w:type="dxa"/>
            <w:bottom w:w="0" w:type="dxa"/>
          </w:tblCellMar>
        </w:tblPrEx>
        <w:trPr>
          <w:trHeight w:val="420"/>
        </w:trPr>
        <w:tc>
          <w:tcPr>
            <w:tcW w:w="3100" w:type="dxa"/>
            <w:tcBorders>
              <w:top w:val="none" w:sz="0" w:space="0" w:color="FFFFFF"/>
              <w:left w:val="none" w:sz="0" w:space="0" w:color="FFFFFF"/>
              <w:bottom w:val="none" w:sz="0" w:space="0" w:color="FFFFFF"/>
              <w:right w:val="none" w:sz="0" w:space="0" w:color="FFFFFF"/>
            </w:tcBorders>
            <w:vAlign w:val="center"/>
          </w:tcPr>
          <w:p w:rsidR="00B5240D" w:rsidRDefault="00B673F4">
            <w:r>
              <w:rPr>
                <w:rFonts w:ascii="Calibri" w:eastAsia="Calibri" w:hAnsi="Calibri" w:cs="Calibri"/>
                <w:b/>
                <w:bCs/>
                <w:color w:val="1A1830"/>
                <w:sz w:val="19"/>
                <w:szCs w:val="19"/>
              </w:rPr>
              <w:t>Supply Chain Coordination</w:t>
            </w:r>
          </w:p>
        </w:tc>
        <w:tc>
          <w:tcPr>
            <w:tcW w:w="2436" w:type="dxa"/>
            <w:tcBorders>
              <w:top w:val="none" w:sz="0" w:space="0" w:color="FFFFFF"/>
              <w:left w:val="none" w:sz="0" w:space="0" w:color="FFFFFF"/>
              <w:bottom w:val="none" w:sz="0" w:space="0" w:color="FFFFFF"/>
              <w:right w:val="none" w:sz="0" w:space="0" w:color="FFFFFF"/>
            </w:tcBorders>
            <w:shd w:val="clear" w:color="auto" w:fill="FF9F1C"/>
          </w:tcPr>
          <w:p w:rsidR="00B5240D" w:rsidRDefault="00B5240D"/>
        </w:tc>
        <w:tc>
          <w:tcPr>
            <w:tcW w:w="1764" w:type="dxa"/>
            <w:tcBorders>
              <w:top w:val="none" w:sz="0" w:space="0" w:color="FFFFFF"/>
              <w:left w:val="none" w:sz="0" w:space="0" w:color="FFFFFF"/>
              <w:bottom w:val="none" w:sz="0" w:space="0" w:color="FFFFFF"/>
              <w:right w:val="none" w:sz="0" w:space="0" w:color="FFFFFF"/>
            </w:tcBorders>
            <w:shd w:val="clear" w:color="auto" w:fill="ECEAF7"/>
          </w:tcPr>
          <w:p w:rsidR="00B5240D" w:rsidRDefault="00B5240D"/>
        </w:tc>
        <w:tc>
          <w:tcPr>
            <w:tcW w:w="900" w:type="dxa"/>
            <w:tcBorders>
              <w:top w:val="none" w:sz="0" w:space="0" w:color="FFFFFF"/>
              <w:left w:val="none" w:sz="0" w:space="0" w:color="FFFFFF"/>
              <w:bottom w:val="none" w:sz="0" w:space="0" w:color="FFFFFF"/>
              <w:right w:val="none" w:sz="0" w:space="0" w:color="FFFFFF"/>
            </w:tcBorders>
            <w:vAlign w:val="center"/>
          </w:tcPr>
          <w:p w:rsidR="00B5240D" w:rsidRDefault="00B673F4">
            <w:pPr>
              <w:jc w:val="right"/>
            </w:pPr>
            <w:r>
              <w:rPr>
                <w:rFonts w:ascii="Calibri" w:eastAsia="Calibri" w:hAnsi="Calibri" w:cs="Calibri"/>
                <w:b/>
                <w:bCs/>
                <w:color w:val="0B0F2B"/>
              </w:rPr>
              <w:t>58%</w:t>
            </w:r>
          </w:p>
        </w:tc>
      </w:tr>
    </w:tbl>
    <w:p w:rsidR="00B5240D" w:rsidRDefault="00B673F4">
      <w:pPr>
        <w:spacing w:after="260"/>
      </w:pPr>
      <w:r>
        <w:rPr>
          <w:rFonts w:ascii="Calibri" w:eastAsia="Calibri" w:hAnsi="Calibri" w:cs="Calibri"/>
          <w:i/>
          <w:iCs/>
          <w:color w:val="5C5A78"/>
          <w:sz w:val="18"/>
          <w:szCs w:val="18"/>
        </w:rPr>
        <w:t>~30% efficiency gains · faster decision latency</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2226"/>
        <w:gridCol w:w="1974"/>
        <w:gridCol w:w="900"/>
      </w:tblGrid>
      <w:tr w:rsidR="00B5240D">
        <w:tblPrEx>
          <w:tblCellMar>
            <w:top w:w="0" w:type="dxa"/>
            <w:bottom w:w="0" w:type="dxa"/>
          </w:tblCellMar>
        </w:tblPrEx>
        <w:trPr>
          <w:trHeight w:val="420"/>
        </w:trPr>
        <w:tc>
          <w:tcPr>
            <w:tcW w:w="3100" w:type="dxa"/>
            <w:tcBorders>
              <w:top w:val="none" w:sz="0" w:space="0" w:color="FFFFFF"/>
              <w:left w:val="none" w:sz="0" w:space="0" w:color="FFFFFF"/>
              <w:bottom w:val="none" w:sz="0" w:space="0" w:color="FFFFFF"/>
              <w:right w:val="none" w:sz="0" w:space="0" w:color="FFFFFF"/>
            </w:tcBorders>
            <w:vAlign w:val="center"/>
          </w:tcPr>
          <w:p w:rsidR="00B5240D" w:rsidRDefault="00B673F4">
            <w:r>
              <w:rPr>
                <w:rFonts w:ascii="Calibri" w:eastAsia="Calibri" w:hAnsi="Calibri" w:cs="Calibri"/>
                <w:b/>
                <w:bCs/>
                <w:color w:val="1A1830"/>
                <w:sz w:val="19"/>
                <w:szCs w:val="19"/>
              </w:rPr>
              <w:t>IT Monitoring &amp; Threat Detection</w:t>
            </w:r>
          </w:p>
        </w:tc>
        <w:tc>
          <w:tcPr>
            <w:tcW w:w="2226" w:type="dxa"/>
            <w:tcBorders>
              <w:top w:val="none" w:sz="0" w:space="0" w:color="FFFFFF"/>
              <w:left w:val="none" w:sz="0" w:space="0" w:color="FFFFFF"/>
              <w:bottom w:val="none" w:sz="0" w:space="0" w:color="FFFFFF"/>
              <w:right w:val="none" w:sz="0" w:space="0" w:color="FFFFFF"/>
            </w:tcBorders>
            <w:shd w:val="clear" w:color="auto" w:fill="FFD23F"/>
          </w:tcPr>
          <w:p w:rsidR="00B5240D" w:rsidRDefault="00B5240D"/>
        </w:tc>
        <w:tc>
          <w:tcPr>
            <w:tcW w:w="1974" w:type="dxa"/>
            <w:tcBorders>
              <w:top w:val="none" w:sz="0" w:space="0" w:color="FFFFFF"/>
              <w:left w:val="none" w:sz="0" w:space="0" w:color="FFFFFF"/>
              <w:bottom w:val="none" w:sz="0" w:space="0" w:color="FFFFFF"/>
              <w:right w:val="none" w:sz="0" w:space="0" w:color="FFFFFF"/>
            </w:tcBorders>
            <w:shd w:val="clear" w:color="auto" w:fill="ECEAF7"/>
          </w:tcPr>
          <w:p w:rsidR="00B5240D" w:rsidRDefault="00B5240D"/>
        </w:tc>
        <w:tc>
          <w:tcPr>
            <w:tcW w:w="900" w:type="dxa"/>
            <w:tcBorders>
              <w:top w:val="none" w:sz="0" w:space="0" w:color="FFFFFF"/>
              <w:left w:val="none" w:sz="0" w:space="0" w:color="FFFFFF"/>
              <w:bottom w:val="none" w:sz="0" w:space="0" w:color="FFFFFF"/>
              <w:right w:val="none" w:sz="0" w:space="0" w:color="FFFFFF"/>
            </w:tcBorders>
            <w:vAlign w:val="center"/>
          </w:tcPr>
          <w:p w:rsidR="00B5240D" w:rsidRDefault="00B673F4">
            <w:pPr>
              <w:jc w:val="right"/>
            </w:pPr>
            <w:r>
              <w:rPr>
                <w:rFonts w:ascii="Calibri" w:eastAsia="Calibri" w:hAnsi="Calibri" w:cs="Calibri"/>
                <w:b/>
                <w:bCs/>
                <w:color w:val="0B0F2B"/>
              </w:rPr>
              <w:t>53%</w:t>
            </w:r>
          </w:p>
        </w:tc>
      </w:tr>
    </w:tbl>
    <w:p w:rsidR="00B5240D" w:rsidRDefault="00B673F4">
      <w:pPr>
        <w:spacing w:after="260"/>
      </w:pPr>
      <w:r>
        <w:rPr>
          <w:rFonts w:ascii="Calibri" w:eastAsia="Calibri" w:hAnsi="Calibri" w:cs="Calibri"/>
          <w:i/>
          <w:iCs/>
          <w:color w:val="5C5A78"/>
          <w:sz w:val="18"/>
          <w:szCs w:val="18"/>
        </w:rPr>
        <w:t>31% fewer critical incidents · autonomous threat detection</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2142"/>
        <w:gridCol w:w="2058"/>
        <w:gridCol w:w="900"/>
      </w:tblGrid>
      <w:tr w:rsidR="00B5240D">
        <w:tblPrEx>
          <w:tblCellMar>
            <w:top w:w="0" w:type="dxa"/>
            <w:bottom w:w="0" w:type="dxa"/>
          </w:tblCellMar>
        </w:tblPrEx>
        <w:trPr>
          <w:trHeight w:val="420"/>
        </w:trPr>
        <w:tc>
          <w:tcPr>
            <w:tcW w:w="3100" w:type="dxa"/>
            <w:tcBorders>
              <w:top w:val="none" w:sz="0" w:space="0" w:color="FFFFFF"/>
              <w:left w:val="none" w:sz="0" w:space="0" w:color="FFFFFF"/>
              <w:bottom w:val="none" w:sz="0" w:space="0" w:color="FFFFFF"/>
              <w:right w:val="none" w:sz="0" w:space="0" w:color="FFFFFF"/>
            </w:tcBorders>
            <w:vAlign w:val="center"/>
          </w:tcPr>
          <w:p w:rsidR="00B5240D" w:rsidRDefault="00B673F4">
            <w:r>
              <w:rPr>
                <w:rFonts w:ascii="Calibri" w:eastAsia="Calibri" w:hAnsi="Calibri" w:cs="Calibri"/>
                <w:b/>
                <w:bCs/>
                <w:color w:val="1A1830"/>
                <w:sz w:val="19"/>
                <w:szCs w:val="19"/>
              </w:rPr>
              <w:t>Software Development Acceleration</w:t>
            </w:r>
          </w:p>
        </w:tc>
        <w:tc>
          <w:tcPr>
            <w:tcW w:w="2142" w:type="dxa"/>
            <w:tcBorders>
              <w:top w:val="none" w:sz="0" w:space="0" w:color="FFFFFF"/>
              <w:left w:val="none" w:sz="0" w:space="0" w:color="FFFFFF"/>
              <w:bottom w:val="none" w:sz="0" w:space="0" w:color="FFFFFF"/>
              <w:right w:val="none" w:sz="0" w:space="0" w:color="FFFFFF"/>
            </w:tcBorders>
            <w:shd w:val="clear" w:color="auto" w:fill="17A589"/>
          </w:tcPr>
          <w:p w:rsidR="00B5240D" w:rsidRDefault="00B5240D"/>
        </w:tc>
        <w:tc>
          <w:tcPr>
            <w:tcW w:w="2058" w:type="dxa"/>
            <w:tcBorders>
              <w:top w:val="none" w:sz="0" w:space="0" w:color="FFFFFF"/>
              <w:left w:val="none" w:sz="0" w:space="0" w:color="FFFFFF"/>
              <w:bottom w:val="none" w:sz="0" w:space="0" w:color="FFFFFF"/>
              <w:right w:val="none" w:sz="0" w:space="0" w:color="FFFFFF"/>
            </w:tcBorders>
            <w:shd w:val="clear" w:color="auto" w:fill="ECEAF7"/>
          </w:tcPr>
          <w:p w:rsidR="00B5240D" w:rsidRDefault="00B5240D"/>
        </w:tc>
        <w:tc>
          <w:tcPr>
            <w:tcW w:w="900" w:type="dxa"/>
            <w:tcBorders>
              <w:top w:val="none" w:sz="0" w:space="0" w:color="FFFFFF"/>
              <w:left w:val="none" w:sz="0" w:space="0" w:color="FFFFFF"/>
              <w:bottom w:val="none" w:sz="0" w:space="0" w:color="FFFFFF"/>
              <w:right w:val="none" w:sz="0" w:space="0" w:color="FFFFFF"/>
            </w:tcBorders>
            <w:vAlign w:val="center"/>
          </w:tcPr>
          <w:p w:rsidR="00B5240D" w:rsidRDefault="00B673F4">
            <w:pPr>
              <w:jc w:val="right"/>
            </w:pPr>
            <w:r>
              <w:rPr>
                <w:rFonts w:ascii="Calibri" w:eastAsia="Calibri" w:hAnsi="Calibri" w:cs="Calibri"/>
                <w:b/>
                <w:bCs/>
                <w:color w:val="0B0F2B"/>
              </w:rPr>
              <w:t>51%</w:t>
            </w:r>
          </w:p>
        </w:tc>
      </w:tr>
    </w:tbl>
    <w:p w:rsidR="00B5240D" w:rsidRDefault="00B673F4">
      <w:pPr>
        <w:spacing w:after="260"/>
      </w:pPr>
      <w:r>
        <w:rPr>
          <w:rFonts w:ascii="Calibri" w:eastAsia="Calibri" w:hAnsi="Calibri" w:cs="Calibri"/>
          <w:i/>
          <w:iCs/>
          <w:color w:val="5C5A78"/>
          <w:sz w:val="18"/>
          <w:szCs w:val="18"/>
        </w:rPr>
        <w:t>98% report faster delivery · 30% efficiency uplift</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890"/>
        <w:gridCol w:w="2310"/>
        <w:gridCol w:w="900"/>
      </w:tblGrid>
      <w:tr w:rsidR="00B5240D">
        <w:tblPrEx>
          <w:tblCellMar>
            <w:top w:w="0" w:type="dxa"/>
            <w:bottom w:w="0" w:type="dxa"/>
          </w:tblCellMar>
        </w:tblPrEx>
        <w:trPr>
          <w:trHeight w:val="420"/>
        </w:trPr>
        <w:tc>
          <w:tcPr>
            <w:tcW w:w="3100" w:type="dxa"/>
            <w:tcBorders>
              <w:top w:val="none" w:sz="0" w:space="0" w:color="FFFFFF"/>
              <w:left w:val="none" w:sz="0" w:space="0" w:color="FFFFFF"/>
              <w:bottom w:val="none" w:sz="0" w:space="0" w:color="FFFFFF"/>
              <w:right w:val="none" w:sz="0" w:space="0" w:color="FFFFFF"/>
            </w:tcBorders>
            <w:vAlign w:val="center"/>
          </w:tcPr>
          <w:p w:rsidR="00B5240D" w:rsidRDefault="00B673F4">
            <w:r>
              <w:rPr>
                <w:rFonts w:ascii="Calibri" w:eastAsia="Calibri" w:hAnsi="Calibri" w:cs="Calibri"/>
                <w:b/>
                <w:bCs/>
                <w:color w:val="1A1830"/>
                <w:sz w:val="19"/>
                <w:szCs w:val="19"/>
              </w:rPr>
              <w:t>Marketing Campaign Automation</w:t>
            </w:r>
          </w:p>
        </w:tc>
        <w:tc>
          <w:tcPr>
            <w:tcW w:w="1890" w:type="dxa"/>
            <w:tcBorders>
              <w:top w:val="none" w:sz="0" w:space="0" w:color="FFFFFF"/>
              <w:left w:val="none" w:sz="0" w:space="0" w:color="FFFFFF"/>
              <w:bottom w:val="none" w:sz="0" w:space="0" w:color="FFFFFF"/>
              <w:right w:val="none" w:sz="0" w:space="0" w:color="FFFFFF"/>
            </w:tcBorders>
            <w:shd w:val="clear" w:color="auto" w:fill="2EC4F1"/>
          </w:tcPr>
          <w:p w:rsidR="00B5240D" w:rsidRDefault="00B5240D"/>
        </w:tc>
        <w:tc>
          <w:tcPr>
            <w:tcW w:w="2310" w:type="dxa"/>
            <w:tcBorders>
              <w:top w:val="none" w:sz="0" w:space="0" w:color="FFFFFF"/>
              <w:left w:val="none" w:sz="0" w:space="0" w:color="FFFFFF"/>
              <w:bottom w:val="none" w:sz="0" w:space="0" w:color="FFFFFF"/>
              <w:right w:val="none" w:sz="0" w:space="0" w:color="FFFFFF"/>
            </w:tcBorders>
            <w:shd w:val="clear" w:color="auto" w:fill="ECEAF7"/>
          </w:tcPr>
          <w:p w:rsidR="00B5240D" w:rsidRDefault="00B5240D"/>
        </w:tc>
        <w:tc>
          <w:tcPr>
            <w:tcW w:w="900" w:type="dxa"/>
            <w:tcBorders>
              <w:top w:val="none" w:sz="0" w:space="0" w:color="FFFFFF"/>
              <w:left w:val="none" w:sz="0" w:space="0" w:color="FFFFFF"/>
              <w:bottom w:val="none" w:sz="0" w:space="0" w:color="FFFFFF"/>
              <w:right w:val="none" w:sz="0" w:space="0" w:color="FFFFFF"/>
            </w:tcBorders>
            <w:vAlign w:val="center"/>
          </w:tcPr>
          <w:p w:rsidR="00B5240D" w:rsidRDefault="00B673F4">
            <w:pPr>
              <w:jc w:val="right"/>
            </w:pPr>
            <w:r>
              <w:rPr>
                <w:rFonts w:ascii="Calibri" w:eastAsia="Calibri" w:hAnsi="Calibri" w:cs="Calibri"/>
                <w:b/>
                <w:bCs/>
                <w:color w:val="0B0F2B"/>
              </w:rPr>
              <w:t>45%</w:t>
            </w:r>
          </w:p>
        </w:tc>
      </w:tr>
    </w:tbl>
    <w:p w:rsidR="00B5240D" w:rsidRDefault="00B673F4">
      <w:pPr>
        <w:spacing w:after="260"/>
      </w:pPr>
      <w:r>
        <w:rPr>
          <w:rFonts w:ascii="Calibri" w:eastAsia="Calibri" w:hAnsi="Calibri" w:cs="Calibri"/>
          <w:i/>
          <w:iCs/>
          <w:color w:val="5C5A78"/>
          <w:sz w:val="18"/>
          <w:szCs w:val="18"/>
        </w:rPr>
        <w:t>27% faster campaign builds · 19% lower cost per lead</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596"/>
        <w:gridCol w:w="2604"/>
        <w:gridCol w:w="900"/>
      </w:tblGrid>
      <w:tr w:rsidR="00B5240D">
        <w:tblPrEx>
          <w:tblCellMar>
            <w:top w:w="0" w:type="dxa"/>
            <w:bottom w:w="0" w:type="dxa"/>
          </w:tblCellMar>
        </w:tblPrEx>
        <w:trPr>
          <w:trHeight w:val="420"/>
        </w:trPr>
        <w:tc>
          <w:tcPr>
            <w:tcW w:w="3100" w:type="dxa"/>
            <w:tcBorders>
              <w:top w:val="none" w:sz="0" w:space="0" w:color="FFFFFF"/>
              <w:left w:val="none" w:sz="0" w:space="0" w:color="FFFFFF"/>
              <w:bottom w:val="none" w:sz="0" w:space="0" w:color="FFFFFF"/>
              <w:right w:val="none" w:sz="0" w:space="0" w:color="FFFFFF"/>
            </w:tcBorders>
            <w:vAlign w:val="center"/>
          </w:tcPr>
          <w:p w:rsidR="00B5240D" w:rsidRDefault="00B673F4">
            <w:r>
              <w:rPr>
                <w:rFonts w:ascii="Calibri" w:eastAsia="Calibri" w:hAnsi="Calibri" w:cs="Calibri"/>
                <w:b/>
                <w:bCs/>
                <w:color w:val="1A1830"/>
                <w:sz w:val="19"/>
                <w:szCs w:val="19"/>
              </w:rPr>
              <w:t>Sales &amp; Lead Qualification</w:t>
            </w:r>
          </w:p>
        </w:tc>
        <w:tc>
          <w:tcPr>
            <w:tcW w:w="1596" w:type="dxa"/>
            <w:tcBorders>
              <w:top w:val="none" w:sz="0" w:space="0" w:color="FFFFFF"/>
              <w:left w:val="none" w:sz="0" w:space="0" w:color="FFFFFF"/>
              <w:bottom w:val="none" w:sz="0" w:space="0" w:color="FFFFFF"/>
              <w:right w:val="none" w:sz="0" w:space="0" w:color="FFFFFF"/>
            </w:tcBorders>
            <w:shd w:val="clear" w:color="auto" w:fill="6E7BFF"/>
          </w:tcPr>
          <w:p w:rsidR="00B5240D" w:rsidRDefault="00B5240D"/>
        </w:tc>
        <w:tc>
          <w:tcPr>
            <w:tcW w:w="2604" w:type="dxa"/>
            <w:tcBorders>
              <w:top w:val="none" w:sz="0" w:space="0" w:color="FFFFFF"/>
              <w:left w:val="none" w:sz="0" w:space="0" w:color="FFFFFF"/>
              <w:bottom w:val="none" w:sz="0" w:space="0" w:color="FFFFFF"/>
              <w:right w:val="none" w:sz="0" w:space="0" w:color="FFFFFF"/>
            </w:tcBorders>
            <w:shd w:val="clear" w:color="auto" w:fill="ECEAF7"/>
          </w:tcPr>
          <w:p w:rsidR="00B5240D" w:rsidRDefault="00B5240D"/>
        </w:tc>
        <w:tc>
          <w:tcPr>
            <w:tcW w:w="900" w:type="dxa"/>
            <w:tcBorders>
              <w:top w:val="none" w:sz="0" w:space="0" w:color="FFFFFF"/>
              <w:left w:val="none" w:sz="0" w:space="0" w:color="FFFFFF"/>
              <w:bottom w:val="none" w:sz="0" w:space="0" w:color="FFFFFF"/>
              <w:right w:val="none" w:sz="0" w:space="0" w:color="FFFFFF"/>
            </w:tcBorders>
            <w:vAlign w:val="center"/>
          </w:tcPr>
          <w:p w:rsidR="00B5240D" w:rsidRDefault="00B673F4">
            <w:pPr>
              <w:jc w:val="right"/>
            </w:pPr>
            <w:r>
              <w:rPr>
                <w:rFonts w:ascii="Calibri" w:eastAsia="Calibri" w:hAnsi="Calibri" w:cs="Calibri"/>
                <w:b/>
                <w:bCs/>
                <w:color w:val="0B0F2B"/>
              </w:rPr>
              <w:t>38%</w:t>
            </w:r>
          </w:p>
        </w:tc>
      </w:tr>
    </w:tbl>
    <w:p w:rsidR="00B5240D" w:rsidRDefault="00B673F4">
      <w:pPr>
        <w:spacing w:after="260"/>
      </w:pPr>
      <w:r>
        <w:rPr>
          <w:rFonts w:ascii="Calibri" w:eastAsia="Calibri" w:hAnsi="Calibri" w:cs="Calibri"/>
          <w:i/>
          <w:iCs/>
          <w:color w:val="5C5A78"/>
          <w:sz w:val="18"/>
          <w:szCs w:val="18"/>
        </w:rPr>
        <w:t>29% shorter sales cycles · 22% better lead conversion</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260"/>
        <w:gridCol w:w="2940"/>
        <w:gridCol w:w="900"/>
      </w:tblGrid>
      <w:tr w:rsidR="00B5240D">
        <w:tblPrEx>
          <w:tblCellMar>
            <w:top w:w="0" w:type="dxa"/>
            <w:bottom w:w="0" w:type="dxa"/>
          </w:tblCellMar>
        </w:tblPrEx>
        <w:trPr>
          <w:trHeight w:val="420"/>
        </w:trPr>
        <w:tc>
          <w:tcPr>
            <w:tcW w:w="3100" w:type="dxa"/>
            <w:tcBorders>
              <w:top w:val="none" w:sz="0" w:space="0" w:color="FFFFFF"/>
              <w:left w:val="none" w:sz="0" w:space="0" w:color="FFFFFF"/>
              <w:bottom w:val="none" w:sz="0" w:space="0" w:color="FFFFFF"/>
              <w:right w:val="none" w:sz="0" w:space="0" w:color="FFFFFF"/>
            </w:tcBorders>
            <w:vAlign w:val="center"/>
          </w:tcPr>
          <w:p w:rsidR="00B5240D" w:rsidRDefault="00B673F4">
            <w:r>
              <w:rPr>
                <w:rFonts w:ascii="Calibri" w:eastAsia="Calibri" w:hAnsi="Calibri" w:cs="Calibri"/>
                <w:b/>
                <w:bCs/>
                <w:color w:val="1A1830"/>
                <w:sz w:val="19"/>
                <w:szCs w:val="19"/>
              </w:rPr>
              <w:t>Finance &amp; Accounting</w:t>
            </w:r>
          </w:p>
        </w:tc>
        <w:tc>
          <w:tcPr>
            <w:tcW w:w="1260" w:type="dxa"/>
            <w:tcBorders>
              <w:top w:val="none" w:sz="0" w:space="0" w:color="FFFFFF"/>
              <w:left w:val="none" w:sz="0" w:space="0" w:color="FFFFFF"/>
              <w:bottom w:val="none" w:sz="0" w:space="0" w:color="FFFFFF"/>
              <w:right w:val="none" w:sz="0" w:space="0" w:color="FFFFFF"/>
            </w:tcBorders>
            <w:shd w:val="clear" w:color="auto" w:fill="9B4DCA"/>
          </w:tcPr>
          <w:p w:rsidR="00B5240D" w:rsidRDefault="00B5240D"/>
        </w:tc>
        <w:tc>
          <w:tcPr>
            <w:tcW w:w="2940" w:type="dxa"/>
            <w:tcBorders>
              <w:top w:val="none" w:sz="0" w:space="0" w:color="FFFFFF"/>
              <w:left w:val="none" w:sz="0" w:space="0" w:color="FFFFFF"/>
              <w:bottom w:val="none" w:sz="0" w:space="0" w:color="FFFFFF"/>
              <w:right w:val="none" w:sz="0" w:space="0" w:color="FFFFFF"/>
            </w:tcBorders>
            <w:shd w:val="clear" w:color="auto" w:fill="ECEAF7"/>
          </w:tcPr>
          <w:p w:rsidR="00B5240D" w:rsidRDefault="00B5240D"/>
        </w:tc>
        <w:tc>
          <w:tcPr>
            <w:tcW w:w="900" w:type="dxa"/>
            <w:tcBorders>
              <w:top w:val="none" w:sz="0" w:space="0" w:color="FFFFFF"/>
              <w:left w:val="none" w:sz="0" w:space="0" w:color="FFFFFF"/>
              <w:bottom w:val="none" w:sz="0" w:space="0" w:color="FFFFFF"/>
              <w:right w:val="none" w:sz="0" w:space="0" w:color="FFFFFF"/>
            </w:tcBorders>
            <w:vAlign w:val="center"/>
          </w:tcPr>
          <w:p w:rsidR="00B5240D" w:rsidRDefault="00B673F4">
            <w:pPr>
              <w:jc w:val="right"/>
            </w:pPr>
            <w:r>
              <w:rPr>
                <w:rFonts w:ascii="Calibri" w:eastAsia="Calibri" w:hAnsi="Calibri" w:cs="Calibri"/>
                <w:b/>
                <w:bCs/>
                <w:color w:val="0B0F2B"/>
              </w:rPr>
              <w:t>30%</w:t>
            </w:r>
          </w:p>
        </w:tc>
      </w:tr>
    </w:tbl>
    <w:p w:rsidR="00B5240D" w:rsidRDefault="00B673F4">
      <w:pPr>
        <w:spacing w:after="260"/>
      </w:pPr>
      <w:r>
        <w:rPr>
          <w:rFonts w:ascii="Calibri" w:eastAsia="Calibri" w:hAnsi="Calibri" w:cs="Calibri"/>
          <w:i/>
          <w:iCs/>
          <w:color w:val="5C5A78"/>
          <w:sz w:val="18"/>
          <w:szCs w:val="18"/>
        </w:rPr>
        <w:t>~85% cycle time reduction</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008"/>
        <w:gridCol w:w="3192"/>
        <w:gridCol w:w="900"/>
      </w:tblGrid>
      <w:tr w:rsidR="00B5240D">
        <w:tblPrEx>
          <w:tblCellMar>
            <w:top w:w="0" w:type="dxa"/>
            <w:bottom w:w="0" w:type="dxa"/>
          </w:tblCellMar>
        </w:tblPrEx>
        <w:trPr>
          <w:trHeight w:val="420"/>
        </w:trPr>
        <w:tc>
          <w:tcPr>
            <w:tcW w:w="3100" w:type="dxa"/>
            <w:tcBorders>
              <w:top w:val="none" w:sz="0" w:space="0" w:color="FFFFFF"/>
              <w:left w:val="none" w:sz="0" w:space="0" w:color="FFFFFF"/>
              <w:bottom w:val="none" w:sz="0" w:space="0" w:color="FFFFFF"/>
              <w:right w:val="none" w:sz="0" w:space="0" w:color="FFFFFF"/>
            </w:tcBorders>
            <w:vAlign w:val="center"/>
          </w:tcPr>
          <w:p w:rsidR="00B5240D" w:rsidRDefault="00B673F4">
            <w:r>
              <w:rPr>
                <w:rFonts w:ascii="Calibri" w:eastAsia="Calibri" w:hAnsi="Calibri" w:cs="Calibri"/>
                <w:b/>
                <w:bCs/>
                <w:color w:val="1A1830"/>
                <w:sz w:val="19"/>
                <w:szCs w:val="19"/>
              </w:rPr>
              <w:lastRenderedPageBreak/>
              <w:t>HR &amp; Talent Acquisition</w:t>
            </w:r>
          </w:p>
        </w:tc>
        <w:tc>
          <w:tcPr>
            <w:tcW w:w="1008" w:type="dxa"/>
            <w:tcBorders>
              <w:top w:val="none" w:sz="0" w:space="0" w:color="FFFFFF"/>
              <w:left w:val="none" w:sz="0" w:space="0" w:color="FFFFFF"/>
              <w:bottom w:val="none" w:sz="0" w:space="0" w:color="FFFFFF"/>
              <w:right w:val="none" w:sz="0" w:space="0" w:color="FFFFFF"/>
            </w:tcBorders>
            <w:shd w:val="clear" w:color="auto" w:fill="E0529C"/>
          </w:tcPr>
          <w:p w:rsidR="00B5240D" w:rsidRDefault="00B5240D"/>
        </w:tc>
        <w:tc>
          <w:tcPr>
            <w:tcW w:w="3192" w:type="dxa"/>
            <w:tcBorders>
              <w:top w:val="none" w:sz="0" w:space="0" w:color="FFFFFF"/>
              <w:left w:val="none" w:sz="0" w:space="0" w:color="FFFFFF"/>
              <w:bottom w:val="none" w:sz="0" w:space="0" w:color="FFFFFF"/>
              <w:right w:val="none" w:sz="0" w:space="0" w:color="FFFFFF"/>
            </w:tcBorders>
            <w:shd w:val="clear" w:color="auto" w:fill="ECEAF7"/>
          </w:tcPr>
          <w:p w:rsidR="00B5240D" w:rsidRDefault="00B5240D"/>
        </w:tc>
        <w:tc>
          <w:tcPr>
            <w:tcW w:w="900" w:type="dxa"/>
            <w:tcBorders>
              <w:top w:val="none" w:sz="0" w:space="0" w:color="FFFFFF"/>
              <w:left w:val="none" w:sz="0" w:space="0" w:color="FFFFFF"/>
              <w:bottom w:val="none" w:sz="0" w:space="0" w:color="FFFFFF"/>
              <w:right w:val="none" w:sz="0" w:space="0" w:color="FFFFFF"/>
            </w:tcBorders>
            <w:vAlign w:val="center"/>
          </w:tcPr>
          <w:p w:rsidR="00B5240D" w:rsidRDefault="00B673F4">
            <w:pPr>
              <w:jc w:val="right"/>
            </w:pPr>
            <w:r>
              <w:rPr>
                <w:rFonts w:ascii="Calibri" w:eastAsia="Calibri" w:hAnsi="Calibri" w:cs="Calibri"/>
                <w:b/>
                <w:bCs/>
                <w:color w:val="0B0F2B"/>
              </w:rPr>
              <w:t>24%</w:t>
            </w:r>
          </w:p>
        </w:tc>
      </w:tr>
    </w:tbl>
    <w:p w:rsidR="00B5240D" w:rsidRDefault="00B673F4">
      <w:pPr>
        <w:spacing w:after="260"/>
      </w:pPr>
      <w:r>
        <w:rPr>
          <w:rFonts w:ascii="Calibri" w:eastAsia="Calibri" w:hAnsi="Calibri" w:cs="Calibri"/>
          <w:i/>
          <w:iCs/>
          <w:color w:val="5C5A78"/>
          <w:sz w:val="18"/>
          <w:szCs w:val="18"/>
        </w:rPr>
        <w:t>40% reduction in time-to-hire</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756"/>
        <w:gridCol w:w="3444"/>
        <w:gridCol w:w="900"/>
      </w:tblGrid>
      <w:tr w:rsidR="00B5240D">
        <w:tblPrEx>
          <w:tblCellMar>
            <w:top w:w="0" w:type="dxa"/>
            <w:bottom w:w="0" w:type="dxa"/>
          </w:tblCellMar>
        </w:tblPrEx>
        <w:trPr>
          <w:trHeight w:val="420"/>
        </w:trPr>
        <w:tc>
          <w:tcPr>
            <w:tcW w:w="3100" w:type="dxa"/>
            <w:tcBorders>
              <w:top w:val="none" w:sz="0" w:space="0" w:color="FFFFFF"/>
              <w:left w:val="none" w:sz="0" w:space="0" w:color="FFFFFF"/>
              <w:bottom w:val="none" w:sz="0" w:space="0" w:color="FFFFFF"/>
              <w:right w:val="none" w:sz="0" w:space="0" w:color="FFFFFF"/>
            </w:tcBorders>
            <w:vAlign w:val="center"/>
          </w:tcPr>
          <w:p w:rsidR="00B5240D" w:rsidRDefault="00B673F4">
            <w:r>
              <w:rPr>
                <w:rFonts w:ascii="Calibri" w:eastAsia="Calibri" w:hAnsi="Calibri" w:cs="Calibri"/>
                <w:b/>
                <w:bCs/>
                <w:color w:val="1A1830"/>
                <w:sz w:val="19"/>
                <w:szCs w:val="19"/>
              </w:rPr>
              <w:t>Legal &amp; Contract Review</w:t>
            </w:r>
          </w:p>
        </w:tc>
        <w:tc>
          <w:tcPr>
            <w:tcW w:w="756" w:type="dxa"/>
            <w:tcBorders>
              <w:top w:val="none" w:sz="0" w:space="0" w:color="FFFFFF"/>
              <w:left w:val="none" w:sz="0" w:space="0" w:color="FFFFFF"/>
              <w:bottom w:val="none" w:sz="0" w:space="0" w:color="FFFFFF"/>
              <w:right w:val="none" w:sz="0" w:space="0" w:color="FFFFFF"/>
            </w:tcBorders>
            <w:shd w:val="clear" w:color="auto" w:fill="8B92A9"/>
          </w:tcPr>
          <w:p w:rsidR="00B5240D" w:rsidRDefault="00B5240D"/>
        </w:tc>
        <w:tc>
          <w:tcPr>
            <w:tcW w:w="3444" w:type="dxa"/>
            <w:tcBorders>
              <w:top w:val="none" w:sz="0" w:space="0" w:color="FFFFFF"/>
              <w:left w:val="none" w:sz="0" w:space="0" w:color="FFFFFF"/>
              <w:bottom w:val="none" w:sz="0" w:space="0" w:color="FFFFFF"/>
              <w:right w:val="none" w:sz="0" w:space="0" w:color="FFFFFF"/>
            </w:tcBorders>
            <w:shd w:val="clear" w:color="auto" w:fill="ECEAF7"/>
          </w:tcPr>
          <w:p w:rsidR="00B5240D" w:rsidRDefault="00B5240D"/>
        </w:tc>
        <w:tc>
          <w:tcPr>
            <w:tcW w:w="900" w:type="dxa"/>
            <w:tcBorders>
              <w:top w:val="none" w:sz="0" w:space="0" w:color="FFFFFF"/>
              <w:left w:val="none" w:sz="0" w:space="0" w:color="FFFFFF"/>
              <w:bottom w:val="none" w:sz="0" w:space="0" w:color="FFFFFF"/>
              <w:right w:val="none" w:sz="0" w:space="0" w:color="FFFFFF"/>
            </w:tcBorders>
            <w:vAlign w:val="center"/>
          </w:tcPr>
          <w:p w:rsidR="00B5240D" w:rsidRDefault="00B673F4">
            <w:pPr>
              <w:jc w:val="right"/>
            </w:pPr>
            <w:r>
              <w:rPr>
                <w:rFonts w:ascii="Calibri" w:eastAsia="Calibri" w:hAnsi="Calibri" w:cs="Calibri"/>
                <w:b/>
                <w:bCs/>
                <w:color w:val="0B0F2B"/>
              </w:rPr>
              <w:t>18%</w:t>
            </w:r>
          </w:p>
        </w:tc>
      </w:tr>
    </w:tbl>
    <w:p w:rsidR="00B5240D" w:rsidRDefault="00B673F4">
      <w:pPr>
        <w:spacing w:after="260"/>
      </w:pPr>
      <w:r>
        <w:rPr>
          <w:rFonts w:ascii="Calibri" w:eastAsia="Calibri" w:hAnsi="Calibri" w:cs="Calibri"/>
          <w:i/>
          <w:iCs/>
          <w:color w:val="5C5A78"/>
          <w:sz w:val="18"/>
          <w:szCs w:val="18"/>
        </w:rPr>
        <w:t>55% reduction in contract review time</w:t>
      </w:r>
    </w:p>
    <w:p w:rsidR="00B5240D" w:rsidRDefault="00B673F4">
      <w:pPr>
        <w:spacing w:after="200" w:line="300" w:lineRule="auto"/>
      </w:pPr>
      <w:r>
        <w:rPr>
          <w:rFonts w:ascii="Calibri" w:eastAsia="Calibri" w:hAnsi="Calibri" w:cs="Calibri"/>
          <w:color w:val="1A1830"/>
          <w:sz w:val="22"/>
          <w:szCs w:val="22"/>
        </w:rPr>
        <w:t xml:space="preserve">The pattern here is not random. Customer service, supply chain, and IT operations all share well-defined, repeatable processes </w:t>
      </w:r>
      <w:r>
        <w:rPr>
          <w:rFonts w:ascii="Calibri" w:eastAsia="Calibri" w:hAnsi="Calibri" w:cs="Calibri"/>
          <w:color w:val="1A1830"/>
          <w:sz w:val="22"/>
          <w:szCs w:val="22"/>
        </w:rPr>
        <w:t>exactly the conditions agentic systems handle best. Finance, HR, and legal lag behind, la</w:t>
      </w:r>
      <w:r>
        <w:rPr>
          <w:rFonts w:ascii="Calibri" w:eastAsia="Calibri" w:hAnsi="Calibri" w:cs="Calibri"/>
          <w:color w:val="1A1830"/>
          <w:sz w:val="22"/>
          <w:szCs w:val="22"/>
        </w:rPr>
        <w:t>rgely because they carry more regulatory weight and less tolerance for error. Separately, industry research cited in the report found that 60% of finance leaders point to data governance and security as the main thing holding back agentic AI in their funct</w:t>
      </w:r>
      <w:r>
        <w:rPr>
          <w:rFonts w:ascii="Calibri" w:eastAsia="Calibri" w:hAnsi="Calibri" w:cs="Calibri"/>
          <w:color w:val="1A1830"/>
          <w:sz w:val="22"/>
          <w:szCs w:val="22"/>
        </w:rPr>
        <w:t>ion</w:t>
      </w:r>
      <w:r w:rsidR="00E64B47">
        <w:rPr>
          <w:rFonts w:ascii="Calibri" w:eastAsia="Calibri" w:hAnsi="Calibri" w:cs="Calibri"/>
          <w:color w:val="1A1830"/>
          <w:sz w:val="22"/>
          <w:szCs w:val="22"/>
          <w:lang w:val="en-US"/>
        </w:rPr>
        <w:t xml:space="preserve">, </w:t>
      </w:r>
      <w:r>
        <w:rPr>
          <w:rFonts w:ascii="Calibri" w:eastAsia="Calibri" w:hAnsi="Calibri" w:cs="Calibri"/>
          <w:color w:val="1A1830"/>
          <w:sz w:val="22"/>
          <w:szCs w:val="22"/>
        </w:rPr>
        <w:t>a useful reminder that the barrier in those areas is trust and compliance, not capability.</w:t>
      </w:r>
    </w:p>
    <w:p w:rsidR="00B5240D" w:rsidRDefault="00B673F4">
      <w:pPr>
        <w:pBdr>
          <w:left w:val="single" w:sz="24" w:space="10" w:color="2EC4F1"/>
        </w:pBdr>
        <w:spacing w:before="380" w:after="160"/>
        <w:ind w:left="200"/>
      </w:pPr>
      <w:r>
        <w:rPr>
          <w:rFonts w:ascii="Calibri" w:eastAsia="Calibri" w:hAnsi="Calibri" w:cs="Calibri"/>
          <w:b/>
          <w:bCs/>
          <w:color w:val="0B0F2B"/>
          <w:sz w:val="30"/>
          <w:szCs w:val="30"/>
        </w:rPr>
        <w:t>Why Roughly 4 in 10 Agentic AI Projects Get Cancelled</w:t>
      </w:r>
    </w:p>
    <w:p w:rsidR="00B5240D" w:rsidRDefault="00B673F4">
      <w:pPr>
        <w:spacing w:after="200" w:line="300" w:lineRule="auto"/>
      </w:pPr>
      <w:r>
        <w:rPr>
          <w:rFonts w:ascii="Calibri" w:eastAsia="Calibri" w:hAnsi="Calibri" w:cs="Calibri"/>
          <w:color w:val="1A1830"/>
          <w:sz w:val="22"/>
          <w:szCs w:val="22"/>
        </w:rPr>
        <w:t xml:space="preserve">Not every deployment </w:t>
      </w:r>
      <w:proofErr w:type="gramStart"/>
      <w:r>
        <w:rPr>
          <w:rFonts w:ascii="Calibri" w:eastAsia="Calibri" w:hAnsi="Calibri" w:cs="Calibri"/>
          <w:color w:val="1A1830"/>
          <w:sz w:val="22"/>
          <w:szCs w:val="22"/>
        </w:rPr>
        <w:t>sticks</w:t>
      </w:r>
      <w:proofErr w:type="gramEnd"/>
      <w:r>
        <w:rPr>
          <w:rFonts w:ascii="Calibri" w:eastAsia="Calibri" w:hAnsi="Calibri" w:cs="Calibri"/>
          <w:color w:val="1A1830"/>
          <w:sz w:val="22"/>
          <w:szCs w:val="22"/>
        </w:rPr>
        <w:t>. Gartner has projected that over 40% of agentic AI projects will be cancelled</w:t>
      </w:r>
      <w:r>
        <w:rPr>
          <w:rFonts w:ascii="Calibri" w:eastAsia="Calibri" w:hAnsi="Calibri" w:cs="Calibri"/>
          <w:color w:val="1A1830"/>
          <w:sz w:val="22"/>
          <w:szCs w:val="22"/>
        </w:rPr>
        <w:t xml:space="preserve"> by the end of 2027, and the abandonment patterns in this report line up closely with that forecast. The leading causes:</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900"/>
        <w:gridCol w:w="1800"/>
      </w:tblGrid>
      <w:tr w:rsidR="00B5240D">
        <w:tblPrEx>
          <w:tblCellMar>
            <w:top w:w="0" w:type="dxa"/>
            <w:bottom w:w="0" w:type="dxa"/>
          </w:tblCellMar>
        </w:tblPrEx>
        <w:trPr>
          <w:tblHeader/>
        </w:trPr>
        <w:tc>
          <w:tcPr>
            <w:tcW w:w="4200" w:type="dxa"/>
            <w:shd w:val="clear" w:color="auto" w:fill="0B0F2B"/>
            <w:tcMar>
              <w:top w:w="100" w:type="dxa"/>
              <w:left w:w="120" w:type="dxa"/>
              <w:bottom w:w="100" w:type="dxa"/>
              <w:right w:w="120" w:type="dxa"/>
            </w:tcMar>
            <w:vAlign w:val="center"/>
          </w:tcPr>
          <w:p w:rsidR="00B5240D" w:rsidRDefault="00B673F4">
            <w:r>
              <w:rPr>
                <w:rFonts w:ascii="Calibri" w:eastAsia="Calibri" w:hAnsi="Calibri" w:cs="Calibri"/>
                <w:b/>
                <w:bCs/>
                <w:color w:val="FFFFFF"/>
                <w:sz w:val="19"/>
                <w:szCs w:val="19"/>
              </w:rPr>
              <w:t>Reason Projects Get Cancelled</w:t>
            </w:r>
          </w:p>
        </w:tc>
        <w:tc>
          <w:tcPr>
            <w:tcW w:w="1900" w:type="dxa"/>
            <w:shd w:val="clear" w:color="auto" w:fill="0B0F2B"/>
            <w:tcMar>
              <w:top w:w="100" w:type="dxa"/>
              <w:left w:w="120" w:type="dxa"/>
              <w:bottom w:w="100" w:type="dxa"/>
              <w:right w:w="120" w:type="dxa"/>
            </w:tcMar>
            <w:vAlign w:val="center"/>
          </w:tcPr>
          <w:p w:rsidR="00B5240D" w:rsidRDefault="00B673F4">
            <w:pPr>
              <w:jc w:val="center"/>
            </w:pPr>
            <w:r>
              <w:rPr>
                <w:rFonts w:ascii="Calibri" w:eastAsia="Calibri" w:hAnsi="Calibri" w:cs="Calibri"/>
                <w:b/>
                <w:bCs/>
                <w:color w:val="FFFFFF"/>
                <w:sz w:val="19"/>
                <w:szCs w:val="19"/>
              </w:rPr>
              <w:t>% of Failed Projects</w:t>
            </w:r>
          </w:p>
        </w:tc>
        <w:tc>
          <w:tcPr>
            <w:tcW w:w="1800" w:type="dxa"/>
            <w:shd w:val="clear" w:color="auto" w:fill="0B0F2B"/>
            <w:tcMar>
              <w:top w:w="100" w:type="dxa"/>
              <w:left w:w="120" w:type="dxa"/>
              <w:bottom w:w="100" w:type="dxa"/>
              <w:right w:w="120" w:type="dxa"/>
            </w:tcMar>
            <w:vAlign w:val="center"/>
          </w:tcPr>
          <w:p w:rsidR="00B5240D" w:rsidRDefault="00B673F4">
            <w:pPr>
              <w:jc w:val="center"/>
            </w:pPr>
            <w:r>
              <w:rPr>
                <w:rFonts w:ascii="Calibri" w:eastAsia="Calibri" w:hAnsi="Calibri" w:cs="Calibri"/>
                <w:b/>
                <w:bCs/>
                <w:color w:val="FFFFFF"/>
                <w:sz w:val="19"/>
                <w:szCs w:val="19"/>
              </w:rPr>
              <w:t>Hits Hardest</w:t>
            </w:r>
          </w:p>
        </w:tc>
      </w:tr>
      <w:tr w:rsidR="00B5240D">
        <w:tblPrEx>
          <w:tblCellMar>
            <w:top w:w="0" w:type="dxa"/>
            <w:bottom w:w="0" w:type="dxa"/>
          </w:tblCellMar>
        </w:tblPrEx>
        <w:tc>
          <w:tcPr>
            <w:tcW w:w="4200" w:type="dxa"/>
            <w:shd w:val="clear" w:color="auto" w:fill="F5F4FC"/>
            <w:tcMar>
              <w:top w:w="90" w:type="dxa"/>
              <w:left w:w="120" w:type="dxa"/>
              <w:bottom w:w="90" w:type="dxa"/>
              <w:right w:w="120" w:type="dxa"/>
            </w:tcMar>
            <w:vAlign w:val="center"/>
          </w:tcPr>
          <w:p w:rsidR="00B5240D" w:rsidRDefault="00B673F4">
            <w:r>
              <w:rPr>
                <w:rFonts w:ascii="Calibri" w:eastAsia="Calibri" w:hAnsi="Calibri" w:cs="Calibri"/>
                <w:b/>
                <w:bCs/>
                <w:color w:val="1A1830"/>
                <w:sz w:val="19"/>
                <w:szCs w:val="19"/>
              </w:rPr>
              <w:t>Unclear business value / ROI</w:t>
            </w:r>
          </w:p>
        </w:tc>
        <w:tc>
          <w:tcPr>
            <w:tcW w:w="1900" w:type="dxa"/>
            <w:shd w:val="clear" w:color="auto" w:fill="F5F4FC"/>
            <w:tcMar>
              <w:top w:w="90" w:type="dxa"/>
              <w:left w:w="120" w:type="dxa"/>
              <w:bottom w:w="90" w:type="dxa"/>
              <w:right w:w="120" w:type="dxa"/>
            </w:tcMar>
            <w:vAlign w:val="center"/>
          </w:tcPr>
          <w:p w:rsidR="00B5240D" w:rsidRDefault="00B673F4">
            <w:pPr>
              <w:jc w:val="center"/>
            </w:pPr>
            <w:r>
              <w:rPr>
                <w:rFonts w:ascii="Calibri" w:eastAsia="Calibri" w:hAnsi="Calibri" w:cs="Calibri"/>
                <w:color w:val="1A1830"/>
                <w:sz w:val="19"/>
                <w:szCs w:val="19"/>
              </w:rPr>
              <w:t>41%</w:t>
            </w:r>
          </w:p>
        </w:tc>
        <w:tc>
          <w:tcPr>
            <w:tcW w:w="1800" w:type="dxa"/>
            <w:shd w:val="clear" w:color="auto" w:fill="F5F4FC"/>
            <w:tcMar>
              <w:top w:w="90" w:type="dxa"/>
              <w:left w:w="120" w:type="dxa"/>
              <w:bottom w:w="90" w:type="dxa"/>
              <w:right w:w="120" w:type="dxa"/>
            </w:tcMar>
            <w:vAlign w:val="center"/>
          </w:tcPr>
          <w:p w:rsidR="00B5240D" w:rsidRDefault="00B673F4">
            <w:pPr>
              <w:jc w:val="center"/>
            </w:pPr>
            <w:r>
              <w:rPr>
                <w:rFonts w:ascii="Calibri" w:eastAsia="Calibri" w:hAnsi="Calibri" w:cs="Calibri"/>
                <w:color w:val="1A1830"/>
                <w:sz w:val="19"/>
                <w:szCs w:val="19"/>
              </w:rPr>
              <w:t>Mid-Market</w:t>
            </w:r>
          </w:p>
        </w:tc>
      </w:tr>
      <w:tr w:rsidR="00B5240D">
        <w:tblPrEx>
          <w:tblCellMar>
            <w:top w:w="0" w:type="dxa"/>
            <w:bottom w:w="0" w:type="dxa"/>
          </w:tblCellMar>
        </w:tblPrEx>
        <w:tc>
          <w:tcPr>
            <w:tcW w:w="4200" w:type="dxa"/>
            <w:shd w:val="clear" w:color="auto" w:fill="FFFFFF"/>
            <w:tcMar>
              <w:top w:w="90" w:type="dxa"/>
              <w:left w:w="120" w:type="dxa"/>
              <w:bottom w:w="90" w:type="dxa"/>
              <w:right w:w="120" w:type="dxa"/>
            </w:tcMar>
            <w:vAlign w:val="center"/>
          </w:tcPr>
          <w:p w:rsidR="00B5240D" w:rsidRDefault="00B673F4">
            <w:r>
              <w:rPr>
                <w:rFonts w:ascii="Calibri" w:eastAsia="Calibri" w:hAnsi="Calibri" w:cs="Calibri"/>
                <w:b/>
                <w:bCs/>
                <w:color w:val="1A1830"/>
                <w:sz w:val="19"/>
                <w:szCs w:val="19"/>
              </w:rPr>
              <w:t>Inadequate data quality or availability</w:t>
            </w:r>
          </w:p>
        </w:tc>
        <w:tc>
          <w:tcPr>
            <w:tcW w:w="1900" w:type="dxa"/>
            <w:shd w:val="clear" w:color="auto" w:fill="FFFFFF"/>
            <w:tcMar>
              <w:top w:w="90" w:type="dxa"/>
              <w:left w:w="120" w:type="dxa"/>
              <w:bottom w:w="90" w:type="dxa"/>
              <w:right w:w="120" w:type="dxa"/>
            </w:tcMar>
            <w:vAlign w:val="center"/>
          </w:tcPr>
          <w:p w:rsidR="00B5240D" w:rsidRDefault="00B673F4">
            <w:pPr>
              <w:jc w:val="center"/>
            </w:pPr>
            <w:r>
              <w:rPr>
                <w:rFonts w:ascii="Calibri" w:eastAsia="Calibri" w:hAnsi="Calibri" w:cs="Calibri"/>
                <w:color w:val="1A1830"/>
                <w:sz w:val="19"/>
                <w:szCs w:val="19"/>
              </w:rPr>
              <w:t>39%</w:t>
            </w:r>
          </w:p>
        </w:tc>
        <w:tc>
          <w:tcPr>
            <w:tcW w:w="1800" w:type="dxa"/>
            <w:shd w:val="clear" w:color="auto" w:fill="FFFFFF"/>
            <w:tcMar>
              <w:top w:w="90" w:type="dxa"/>
              <w:left w:w="120" w:type="dxa"/>
              <w:bottom w:w="90" w:type="dxa"/>
              <w:right w:w="120" w:type="dxa"/>
            </w:tcMar>
            <w:vAlign w:val="center"/>
          </w:tcPr>
          <w:p w:rsidR="00B5240D" w:rsidRDefault="00B673F4">
            <w:pPr>
              <w:jc w:val="center"/>
            </w:pPr>
            <w:r>
              <w:rPr>
                <w:rFonts w:ascii="Calibri" w:eastAsia="Calibri" w:hAnsi="Calibri" w:cs="Calibri"/>
                <w:color w:val="1A1830"/>
                <w:sz w:val="19"/>
                <w:szCs w:val="19"/>
              </w:rPr>
              <w:t>All sizes</w:t>
            </w:r>
          </w:p>
        </w:tc>
      </w:tr>
      <w:tr w:rsidR="00B5240D">
        <w:tblPrEx>
          <w:tblCellMar>
            <w:top w:w="0" w:type="dxa"/>
            <w:bottom w:w="0" w:type="dxa"/>
          </w:tblCellMar>
        </w:tblPrEx>
        <w:tc>
          <w:tcPr>
            <w:tcW w:w="4200" w:type="dxa"/>
            <w:shd w:val="clear" w:color="auto" w:fill="F5F4FC"/>
            <w:tcMar>
              <w:top w:w="90" w:type="dxa"/>
              <w:left w:w="120" w:type="dxa"/>
              <w:bottom w:w="90" w:type="dxa"/>
              <w:right w:w="120" w:type="dxa"/>
            </w:tcMar>
            <w:vAlign w:val="center"/>
          </w:tcPr>
          <w:p w:rsidR="00B5240D" w:rsidRDefault="00B673F4">
            <w:r>
              <w:rPr>
                <w:rFonts w:ascii="Calibri" w:eastAsia="Calibri" w:hAnsi="Calibri" w:cs="Calibri"/>
                <w:b/>
                <w:bCs/>
                <w:color w:val="1A1830"/>
                <w:sz w:val="19"/>
                <w:szCs w:val="19"/>
              </w:rPr>
              <w:t>Escalating costs</w:t>
            </w:r>
          </w:p>
        </w:tc>
        <w:tc>
          <w:tcPr>
            <w:tcW w:w="1900" w:type="dxa"/>
            <w:shd w:val="clear" w:color="auto" w:fill="F5F4FC"/>
            <w:tcMar>
              <w:top w:w="90" w:type="dxa"/>
              <w:left w:w="120" w:type="dxa"/>
              <w:bottom w:w="90" w:type="dxa"/>
              <w:right w:w="120" w:type="dxa"/>
            </w:tcMar>
            <w:vAlign w:val="center"/>
          </w:tcPr>
          <w:p w:rsidR="00B5240D" w:rsidRDefault="00B673F4">
            <w:pPr>
              <w:jc w:val="center"/>
            </w:pPr>
            <w:r>
              <w:rPr>
                <w:rFonts w:ascii="Calibri" w:eastAsia="Calibri" w:hAnsi="Calibri" w:cs="Calibri"/>
                <w:color w:val="1A1830"/>
                <w:sz w:val="19"/>
                <w:szCs w:val="19"/>
              </w:rPr>
              <w:t>36%</w:t>
            </w:r>
          </w:p>
        </w:tc>
        <w:tc>
          <w:tcPr>
            <w:tcW w:w="1800" w:type="dxa"/>
            <w:shd w:val="clear" w:color="auto" w:fill="F5F4FC"/>
            <w:tcMar>
              <w:top w:w="90" w:type="dxa"/>
              <w:left w:w="120" w:type="dxa"/>
              <w:bottom w:w="90" w:type="dxa"/>
              <w:right w:w="120" w:type="dxa"/>
            </w:tcMar>
            <w:vAlign w:val="center"/>
          </w:tcPr>
          <w:p w:rsidR="00B5240D" w:rsidRDefault="00B673F4">
            <w:pPr>
              <w:jc w:val="center"/>
            </w:pPr>
            <w:r>
              <w:rPr>
                <w:rFonts w:ascii="Calibri" w:eastAsia="Calibri" w:hAnsi="Calibri" w:cs="Calibri"/>
                <w:color w:val="1A1830"/>
                <w:sz w:val="19"/>
                <w:szCs w:val="19"/>
              </w:rPr>
              <w:t>SMB</w:t>
            </w:r>
          </w:p>
        </w:tc>
      </w:tr>
      <w:tr w:rsidR="00B5240D">
        <w:tblPrEx>
          <w:tblCellMar>
            <w:top w:w="0" w:type="dxa"/>
            <w:bottom w:w="0" w:type="dxa"/>
          </w:tblCellMar>
        </w:tblPrEx>
        <w:tc>
          <w:tcPr>
            <w:tcW w:w="4200" w:type="dxa"/>
            <w:shd w:val="clear" w:color="auto" w:fill="FFFFFF"/>
            <w:tcMar>
              <w:top w:w="90" w:type="dxa"/>
              <w:left w:w="120" w:type="dxa"/>
              <w:bottom w:w="90" w:type="dxa"/>
              <w:right w:w="120" w:type="dxa"/>
            </w:tcMar>
            <w:vAlign w:val="center"/>
          </w:tcPr>
          <w:p w:rsidR="00B5240D" w:rsidRDefault="00B673F4">
            <w:r>
              <w:rPr>
                <w:rFonts w:ascii="Calibri" w:eastAsia="Calibri" w:hAnsi="Calibri" w:cs="Calibri"/>
                <w:b/>
                <w:bCs/>
                <w:color w:val="1A1830"/>
                <w:sz w:val="19"/>
                <w:szCs w:val="19"/>
              </w:rPr>
              <w:t>Cybersecurity and risk concerns</w:t>
            </w:r>
          </w:p>
        </w:tc>
        <w:tc>
          <w:tcPr>
            <w:tcW w:w="1900" w:type="dxa"/>
            <w:shd w:val="clear" w:color="auto" w:fill="FFFFFF"/>
            <w:tcMar>
              <w:top w:w="90" w:type="dxa"/>
              <w:left w:w="120" w:type="dxa"/>
              <w:bottom w:w="90" w:type="dxa"/>
              <w:right w:w="120" w:type="dxa"/>
            </w:tcMar>
            <w:vAlign w:val="center"/>
          </w:tcPr>
          <w:p w:rsidR="00B5240D" w:rsidRDefault="00B673F4">
            <w:pPr>
              <w:jc w:val="center"/>
            </w:pPr>
            <w:r>
              <w:rPr>
                <w:rFonts w:ascii="Calibri" w:eastAsia="Calibri" w:hAnsi="Calibri" w:cs="Calibri"/>
                <w:color w:val="1A1830"/>
                <w:sz w:val="19"/>
                <w:szCs w:val="19"/>
              </w:rPr>
              <w:t>30%</w:t>
            </w:r>
          </w:p>
        </w:tc>
        <w:tc>
          <w:tcPr>
            <w:tcW w:w="1800" w:type="dxa"/>
            <w:shd w:val="clear" w:color="auto" w:fill="FFFFFF"/>
            <w:tcMar>
              <w:top w:w="90" w:type="dxa"/>
              <w:left w:w="120" w:type="dxa"/>
              <w:bottom w:w="90" w:type="dxa"/>
              <w:right w:w="120" w:type="dxa"/>
            </w:tcMar>
            <w:vAlign w:val="center"/>
          </w:tcPr>
          <w:p w:rsidR="00B5240D" w:rsidRDefault="00B673F4">
            <w:pPr>
              <w:jc w:val="center"/>
            </w:pPr>
            <w:r>
              <w:rPr>
                <w:rFonts w:ascii="Calibri" w:eastAsia="Calibri" w:hAnsi="Calibri" w:cs="Calibri"/>
                <w:color w:val="1A1830"/>
                <w:sz w:val="19"/>
                <w:szCs w:val="19"/>
              </w:rPr>
              <w:t>Enterprise</w:t>
            </w:r>
          </w:p>
        </w:tc>
      </w:tr>
      <w:tr w:rsidR="00B5240D">
        <w:tblPrEx>
          <w:tblCellMar>
            <w:top w:w="0" w:type="dxa"/>
            <w:bottom w:w="0" w:type="dxa"/>
          </w:tblCellMar>
        </w:tblPrEx>
        <w:tc>
          <w:tcPr>
            <w:tcW w:w="4200" w:type="dxa"/>
            <w:shd w:val="clear" w:color="auto" w:fill="F5F4FC"/>
            <w:tcMar>
              <w:top w:w="90" w:type="dxa"/>
              <w:left w:w="120" w:type="dxa"/>
              <w:bottom w:w="90" w:type="dxa"/>
              <w:right w:w="120" w:type="dxa"/>
            </w:tcMar>
            <w:vAlign w:val="center"/>
          </w:tcPr>
          <w:p w:rsidR="00B5240D" w:rsidRDefault="00B673F4">
            <w:r>
              <w:rPr>
                <w:rFonts w:ascii="Calibri" w:eastAsia="Calibri" w:hAnsi="Calibri" w:cs="Calibri"/>
                <w:b/>
                <w:bCs/>
                <w:color w:val="1A1830"/>
                <w:sz w:val="19"/>
                <w:szCs w:val="19"/>
              </w:rPr>
              <w:t>Lack of internal AI expertise</w:t>
            </w:r>
          </w:p>
        </w:tc>
        <w:tc>
          <w:tcPr>
            <w:tcW w:w="1900" w:type="dxa"/>
            <w:shd w:val="clear" w:color="auto" w:fill="F5F4FC"/>
            <w:tcMar>
              <w:top w:w="90" w:type="dxa"/>
              <w:left w:w="120" w:type="dxa"/>
              <w:bottom w:w="90" w:type="dxa"/>
              <w:right w:w="120" w:type="dxa"/>
            </w:tcMar>
            <w:vAlign w:val="center"/>
          </w:tcPr>
          <w:p w:rsidR="00B5240D" w:rsidRDefault="00B673F4">
            <w:pPr>
              <w:jc w:val="center"/>
            </w:pPr>
            <w:r>
              <w:rPr>
                <w:rFonts w:ascii="Calibri" w:eastAsia="Calibri" w:hAnsi="Calibri" w:cs="Calibri"/>
                <w:color w:val="1A1830"/>
                <w:sz w:val="19"/>
                <w:szCs w:val="19"/>
              </w:rPr>
              <w:t>28%</w:t>
            </w:r>
          </w:p>
        </w:tc>
        <w:tc>
          <w:tcPr>
            <w:tcW w:w="1800" w:type="dxa"/>
            <w:shd w:val="clear" w:color="auto" w:fill="F5F4FC"/>
            <w:tcMar>
              <w:top w:w="90" w:type="dxa"/>
              <w:left w:w="120" w:type="dxa"/>
              <w:bottom w:w="90" w:type="dxa"/>
              <w:right w:w="120" w:type="dxa"/>
            </w:tcMar>
            <w:vAlign w:val="center"/>
          </w:tcPr>
          <w:p w:rsidR="00B5240D" w:rsidRDefault="00B673F4">
            <w:pPr>
              <w:jc w:val="center"/>
            </w:pPr>
            <w:r>
              <w:rPr>
                <w:rFonts w:ascii="Calibri" w:eastAsia="Calibri" w:hAnsi="Calibri" w:cs="Calibri"/>
                <w:color w:val="1A1830"/>
                <w:sz w:val="19"/>
                <w:szCs w:val="19"/>
              </w:rPr>
              <w:t>Mid-Market</w:t>
            </w:r>
          </w:p>
        </w:tc>
      </w:tr>
    </w:tbl>
    <w:p w:rsidR="00B5240D" w:rsidRDefault="00B673F4">
      <w:pPr>
        <w:spacing w:after="260"/>
      </w:pPr>
      <w:r>
        <w:rPr>
          <w:rFonts w:ascii="Calibri" w:eastAsia="Calibri" w:hAnsi="Calibri" w:cs="Calibri"/>
          <w:i/>
          <w:iCs/>
          <w:color w:val="5C5A78"/>
          <w:sz w:val="18"/>
          <w:szCs w:val="18"/>
        </w:rPr>
        <w:t>Most-cited reasons agentic AI projects are cancelled, 2026. Projects often cite more than one cause, so percentages don’t sum to 100%.</w:t>
      </w:r>
    </w:p>
    <w:p w:rsidR="00B5240D" w:rsidRDefault="00B673F4">
      <w:pPr>
        <w:spacing w:after="200" w:line="300" w:lineRule="auto"/>
      </w:pPr>
      <w:r>
        <w:rPr>
          <w:rFonts w:ascii="Calibri" w:eastAsia="Calibri" w:hAnsi="Calibri" w:cs="Calibri"/>
          <w:color w:val="1A1830"/>
          <w:sz w:val="22"/>
          <w:szCs w:val="22"/>
        </w:rPr>
        <w:t xml:space="preserve">The </w:t>
      </w:r>
      <w:proofErr w:type="spellStart"/>
      <w:r>
        <w:rPr>
          <w:rFonts w:ascii="Calibri" w:eastAsia="Calibri" w:hAnsi="Calibri" w:cs="Calibri"/>
          <w:color w:val="1A1830"/>
          <w:sz w:val="22"/>
          <w:szCs w:val="22"/>
        </w:rPr>
        <w:t>throughline</w:t>
      </w:r>
      <w:proofErr w:type="spellEnd"/>
      <w:r>
        <w:rPr>
          <w:rFonts w:ascii="Calibri" w:eastAsia="Calibri" w:hAnsi="Calibri" w:cs="Calibri"/>
          <w:color w:val="1A1830"/>
          <w:sz w:val="22"/>
          <w:szCs w:val="22"/>
        </w:rPr>
        <w:t xml:space="preserve"> across almost every failure reason is preparation, not technology. Projects stall when a business never d</w:t>
      </w:r>
      <w:r>
        <w:rPr>
          <w:rFonts w:ascii="Calibri" w:eastAsia="Calibri" w:hAnsi="Calibri" w:cs="Calibri"/>
          <w:color w:val="1A1830"/>
          <w:sz w:val="22"/>
          <w:szCs w:val="22"/>
        </w:rPr>
        <w:t>efined what success would look like, when the underlying data is incomplete or siloed, or when costs creep past what was budgeted because scope was never tightly scoped in the first place. None of that is an argument against agentic AI</w:t>
      </w:r>
      <w:r w:rsidR="00E64B47">
        <w:rPr>
          <w:rFonts w:ascii="Calibri" w:eastAsia="Calibri" w:hAnsi="Calibri" w:cs="Calibri"/>
          <w:color w:val="1A1830"/>
          <w:sz w:val="22"/>
          <w:szCs w:val="22"/>
          <w:lang w:val="en-US"/>
        </w:rPr>
        <w:t xml:space="preserve">, </w:t>
      </w:r>
      <w:r>
        <w:rPr>
          <w:rFonts w:ascii="Calibri" w:eastAsia="Calibri" w:hAnsi="Calibri" w:cs="Calibri"/>
          <w:color w:val="1A1830"/>
          <w:sz w:val="22"/>
          <w:szCs w:val="22"/>
        </w:rPr>
        <w:t xml:space="preserve">it is an argument </w:t>
      </w:r>
      <w:r>
        <w:rPr>
          <w:rFonts w:ascii="Calibri" w:eastAsia="Calibri" w:hAnsi="Calibri" w:cs="Calibri"/>
          <w:color w:val="1A1830"/>
          <w:sz w:val="22"/>
          <w:szCs w:val="22"/>
        </w:rPr>
        <w:t>for going in with a clear use case, clean data, and a realistic budget before the first agent is ever deployed.</w:t>
      </w:r>
    </w:p>
    <w:p w:rsidR="00B5240D" w:rsidRDefault="00B673F4">
      <w:pPr>
        <w:pBdr>
          <w:left w:val="single" w:sz="24" w:space="10" w:color="2EC4F1"/>
        </w:pBdr>
        <w:spacing w:before="380" w:after="160"/>
        <w:ind w:left="200"/>
      </w:pPr>
      <w:r>
        <w:rPr>
          <w:rFonts w:ascii="Calibri" w:eastAsia="Calibri" w:hAnsi="Calibri" w:cs="Calibri"/>
          <w:b/>
          <w:bCs/>
          <w:color w:val="0B0F2B"/>
          <w:sz w:val="30"/>
          <w:szCs w:val="30"/>
        </w:rPr>
        <w:t>What This Means for Your Business</w:t>
      </w:r>
    </w:p>
    <w:p w:rsidR="00B5240D" w:rsidRDefault="00B673F4">
      <w:pPr>
        <w:spacing w:after="200" w:line="300" w:lineRule="auto"/>
      </w:pPr>
      <w:r>
        <w:rPr>
          <w:rFonts w:ascii="Calibri" w:eastAsia="Calibri" w:hAnsi="Calibri" w:cs="Calibri"/>
          <w:color w:val="1A1830"/>
          <w:sz w:val="22"/>
          <w:szCs w:val="22"/>
        </w:rPr>
        <w:t>The data points to a narrow but real window. Adoption is still low enough across most industries that moving n</w:t>
      </w:r>
      <w:r>
        <w:rPr>
          <w:rFonts w:ascii="Calibri" w:eastAsia="Calibri" w:hAnsi="Calibri" w:cs="Calibri"/>
          <w:color w:val="1A1830"/>
          <w:sz w:val="22"/>
          <w:szCs w:val="22"/>
        </w:rPr>
        <w:t>ow is a genuine competitive advantage, but the infrastructure and tooling have matured to the point where smaller teams no longer need an enterprise budget to get there. The businesses seeing the strongest results — faster support resolution, shorter sales</w:t>
      </w:r>
      <w:r>
        <w:rPr>
          <w:rFonts w:ascii="Calibri" w:eastAsia="Calibri" w:hAnsi="Calibri" w:cs="Calibri"/>
          <w:color w:val="1A1830"/>
          <w:sz w:val="22"/>
          <w:szCs w:val="22"/>
        </w:rPr>
        <w:t xml:space="preserve"> cycles, leaner operations </w:t>
      </w:r>
      <w:r>
        <w:rPr>
          <w:rFonts w:ascii="Calibri" w:eastAsia="Calibri" w:hAnsi="Calibri" w:cs="Calibri"/>
          <w:color w:val="1A1830"/>
          <w:sz w:val="22"/>
          <w:szCs w:val="22"/>
        </w:rPr>
        <w:t>are the ones that picked one well-defined process, built on clean data, and scaled deliberately instead of trying to automate everything at once.</w:t>
      </w:r>
    </w:p>
    <w:p w:rsidR="00B5240D" w:rsidRDefault="00B673F4">
      <w:pPr>
        <w:spacing w:after="200" w:line="300" w:lineRule="auto"/>
      </w:pPr>
      <w:r>
        <w:rPr>
          <w:rFonts w:ascii="Calibri" w:eastAsia="Calibri" w:hAnsi="Calibri" w:cs="Calibri"/>
          <w:color w:val="1A1830"/>
          <w:sz w:val="22"/>
          <w:szCs w:val="22"/>
        </w:rPr>
        <w:lastRenderedPageBreak/>
        <w:t>That is exactly the approach we take with clients at Remote Minds Solutions. Inst</w:t>
      </w:r>
      <w:r>
        <w:rPr>
          <w:rFonts w:ascii="Calibri" w:eastAsia="Calibri" w:hAnsi="Calibri" w:cs="Calibri"/>
          <w:color w:val="1A1830"/>
          <w:sz w:val="22"/>
          <w:szCs w:val="22"/>
        </w:rPr>
        <w:t xml:space="preserve">ead of a sprawling AI overhaul, we help small and mid-sized businesses identify the one or two workflows where an agent will make the biggest measurable difference, build it on solid data foundations, and scale it once it is proven </w:t>
      </w:r>
      <w:bookmarkStart w:id="0" w:name="_GoBack"/>
      <w:bookmarkEnd w:id="0"/>
      <w:r>
        <w:rPr>
          <w:rFonts w:ascii="Calibri" w:eastAsia="Calibri" w:hAnsi="Calibri" w:cs="Calibri"/>
          <w:color w:val="1A1830"/>
          <w:sz w:val="22"/>
          <w:szCs w:val="22"/>
        </w:rPr>
        <w:t>the same pattern the d</w:t>
      </w:r>
      <w:r>
        <w:rPr>
          <w:rFonts w:ascii="Calibri" w:eastAsia="Calibri" w:hAnsi="Calibri" w:cs="Calibri"/>
          <w:color w:val="1A1830"/>
          <w:sz w:val="22"/>
          <w:szCs w:val="22"/>
        </w:rPr>
        <w:t>ata above shows separates the companies getting real ROI from the ones stuck in permanent pilot mode.</w:t>
      </w:r>
    </w:p>
    <w:p w:rsidR="00B5240D" w:rsidRDefault="00B673F4">
      <w:pPr>
        <w:shd w:val="clear" w:color="auto" w:fill="0B0F2B"/>
        <w:spacing w:before="300" w:after="60"/>
      </w:pPr>
      <w:r>
        <w:rPr>
          <w:rFonts w:ascii="Calibri" w:eastAsia="Calibri" w:hAnsi="Calibri" w:cs="Calibri"/>
          <w:b/>
          <w:bCs/>
          <w:color w:val="FFFFFF"/>
          <w:sz w:val="26"/>
          <w:szCs w:val="26"/>
        </w:rPr>
        <w:t xml:space="preserve">  Remote Minds Solutions</w:t>
      </w:r>
    </w:p>
    <w:p w:rsidR="00B5240D" w:rsidRDefault="00B673F4">
      <w:pPr>
        <w:shd w:val="clear" w:color="auto" w:fill="0B0F2B"/>
        <w:spacing w:after="60"/>
      </w:pPr>
      <w:r>
        <w:rPr>
          <w:rFonts w:ascii="Calibri" w:eastAsia="Calibri" w:hAnsi="Calibri" w:cs="Calibri"/>
          <w:color w:val="B8B4E8"/>
        </w:rPr>
        <w:t xml:space="preserve">  We build the AI agents your business hasn't deployed yet.</w:t>
      </w:r>
    </w:p>
    <w:p w:rsidR="00B5240D" w:rsidRDefault="00B673F4">
      <w:pPr>
        <w:shd w:val="clear" w:color="auto" w:fill="0B0F2B"/>
        <w:spacing w:after="60"/>
      </w:pPr>
      <w:r>
        <w:rPr>
          <w:rFonts w:ascii="Calibri" w:eastAsia="Calibri" w:hAnsi="Calibri" w:cs="Calibri"/>
          <w:b/>
          <w:bCs/>
          <w:color w:val="FFFFFF"/>
        </w:rPr>
        <w:t xml:space="preserve">  remotemindssolutions.com   ·   houston@remotemindssolutions.com</w:t>
      </w:r>
    </w:p>
    <w:p w:rsidR="00B5240D" w:rsidRDefault="00B673F4">
      <w:pPr>
        <w:shd w:val="clear" w:color="auto" w:fill="0B0F2B"/>
        <w:spacing w:before="60" w:after="300"/>
      </w:pPr>
      <w:r>
        <w:rPr>
          <w:sz w:val="2"/>
          <w:szCs w:val="2"/>
        </w:rPr>
        <w:t xml:space="preserve"> </w:t>
      </w:r>
    </w:p>
    <w:p w:rsidR="00B5240D" w:rsidRDefault="00B5240D">
      <w:pPr>
        <w:pBdr>
          <w:top w:val="single" w:sz="4" w:space="8" w:color="D9D6EC"/>
        </w:pBdr>
        <w:spacing w:before="200"/>
      </w:pPr>
    </w:p>
    <w:p w:rsidR="00B5240D" w:rsidRDefault="00B673F4">
      <w:pPr>
        <w:spacing w:before="120"/>
      </w:pPr>
      <w:r>
        <w:rPr>
          <w:rFonts w:ascii="Calibri" w:eastAsia="Calibri" w:hAnsi="Calibri" w:cs="Calibri"/>
          <w:color w:val="5C5A78"/>
          <w:sz w:val="17"/>
          <w:szCs w:val="17"/>
        </w:rPr>
        <w:t>Source: First Page Sage, “Agentic AI Adoption Statistics for 2026” — firstpagesage.com/reports/agentic-ai-adoption-statistics</w:t>
      </w:r>
    </w:p>
    <w:sectPr w:rsidR="00B5240D">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2E3C39"/>
    <w:multiLevelType w:val="hybridMultilevel"/>
    <w:tmpl w:val="2F124DA4"/>
    <w:lvl w:ilvl="0" w:tplc="FF7843D0">
      <w:start w:val="1"/>
      <w:numFmt w:val="bullet"/>
      <w:lvlText w:val="●"/>
      <w:lvlJc w:val="left"/>
      <w:pPr>
        <w:ind w:left="720" w:hanging="360"/>
      </w:pPr>
    </w:lvl>
    <w:lvl w:ilvl="1" w:tplc="06CE917C">
      <w:start w:val="1"/>
      <w:numFmt w:val="bullet"/>
      <w:lvlText w:val="○"/>
      <w:lvlJc w:val="left"/>
      <w:pPr>
        <w:ind w:left="1440" w:hanging="360"/>
      </w:pPr>
    </w:lvl>
    <w:lvl w:ilvl="2" w:tplc="C0503C9E">
      <w:start w:val="1"/>
      <w:numFmt w:val="bullet"/>
      <w:lvlText w:val="■"/>
      <w:lvlJc w:val="left"/>
      <w:pPr>
        <w:ind w:left="2160" w:hanging="360"/>
      </w:pPr>
    </w:lvl>
    <w:lvl w:ilvl="3" w:tplc="0AEC65A6">
      <w:start w:val="1"/>
      <w:numFmt w:val="bullet"/>
      <w:lvlText w:val="●"/>
      <w:lvlJc w:val="left"/>
      <w:pPr>
        <w:ind w:left="2880" w:hanging="360"/>
      </w:pPr>
    </w:lvl>
    <w:lvl w:ilvl="4" w:tplc="0F86E5FC">
      <w:start w:val="1"/>
      <w:numFmt w:val="bullet"/>
      <w:lvlText w:val="○"/>
      <w:lvlJc w:val="left"/>
      <w:pPr>
        <w:ind w:left="3600" w:hanging="360"/>
      </w:pPr>
    </w:lvl>
    <w:lvl w:ilvl="5" w:tplc="B4662984">
      <w:start w:val="1"/>
      <w:numFmt w:val="bullet"/>
      <w:lvlText w:val="■"/>
      <w:lvlJc w:val="left"/>
      <w:pPr>
        <w:ind w:left="4320" w:hanging="360"/>
      </w:pPr>
    </w:lvl>
    <w:lvl w:ilvl="6" w:tplc="1EF64274">
      <w:start w:val="1"/>
      <w:numFmt w:val="bullet"/>
      <w:lvlText w:val="●"/>
      <w:lvlJc w:val="left"/>
      <w:pPr>
        <w:ind w:left="5040" w:hanging="360"/>
      </w:pPr>
    </w:lvl>
    <w:lvl w:ilvl="7" w:tplc="C52CA968">
      <w:start w:val="1"/>
      <w:numFmt w:val="bullet"/>
      <w:lvlText w:val="●"/>
      <w:lvlJc w:val="left"/>
      <w:pPr>
        <w:ind w:left="5760" w:hanging="360"/>
      </w:pPr>
    </w:lvl>
    <w:lvl w:ilvl="8" w:tplc="A7FAA7B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40D"/>
    <w:rsid w:val="0058155D"/>
    <w:rsid w:val="006B5D7E"/>
    <w:rsid w:val="00B5240D"/>
    <w:rsid w:val="00B673F4"/>
    <w:rsid w:val="00E10AF6"/>
    <w:rsid w:val="00E64B4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A21B4"/>
  <w15:docId w15:val="{A4FA87EA-ED19-45CA-80F8-61584DDC4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KE" w:eastAsia="en-K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1169</Words>
  <Characters>6665</Characters>
  <Application>Microsoft Office Word</Application>
  <DocSecurity>0</DocSecurity>
  <Lines>55</Lines>
  <Paragraphs>15</Paragraphs>
  <ScaleCrop>false</ScaleCrop>
  <Company/>
  <LinksUpToDate>false</LinksUpToDate>
  <CharactersWithSpaces>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Houston</cp:lastModifiedBy>
  <cp:revision>6</cp:revision>
  <dcterms:created xsi:type="dcterms:W3CDTF">2026-08-20T10:16:00Z</dcterms:created>
  <dcterms:modified xsi:type="dcterms:W3CDTF">2026-08-20T10:38:00Z</dcterms:modified>
</cp:coreProperties>
</file>