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bookmarkStart w:id="0" w:name="_GoBack"/>
            <w:bookmarkEnd w:id="0"/>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84E5105"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38F39453" w14:textId="194F3FCA" w:rsidR="00F12D70" w:rsidRPr="00780E82" w:rsidRDefault="0055009E" w:rsidP="00EF37EC">
      <w:pPr>
        <w:pStyle w:val="Overskrift1"/>
        <w:rPr>
          <w:sz w:val="24"/>
          <w:szCs w:val="24"/>
        </w:rPr>
      </w:pPr>
      <w:r>
        <w:rPr>
          <w:rFonts w:ascii="Arial" w:eastAsia="Times New Roman" w:hAnsi="Arial" w:cs="Times New Roman"/>
          <w:b w:val="0"/>
          <w:bCs w:val="0"/>
          <w:color w:val="auto"/>
          <w:sz w:val="22"/>
          <w:szCs w:val="20"/>
        </w:rPr>
        <w:br/>
      </w:r>
      <w:bookmarkStart w:id="1" w:name="_Toc219522628"/>
      <w:r w:rsidR="00EF37EC">
        <w:t xml:space="preserve">1.0 </w:t>
      </w:r>
      <w:r w:rsidR="00F12D70" w:rsidRPr="00780E82">
        <w:t>Innledning</w:t>
      </w:r>
      <w:bookmarkEnd w:id="1"/>
      <w:r w:rsidR="0057232B">
        <w:t xml:space="preserve"> </w:t>
      </w:r>
    </w:p>
    <w:p w14:paraId="298BF69A" w14:textId="77777777" w:rsidR="00AB10C4" w:rsidRPr="00780E82" w:rsidRDefault="00AB10C4">
      <w:pPr>
        <w:rPr>
          <w:rFonts w:ascii="Times New Roman" w:hAnsi="Times New Roman"/>
        </w:rPr>
      </w:pPr>
    </w:p>
    <w:p w14:paraId="1C9A24E1" w14:textId="65E2FBC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Pr="00780E82">
        <w:rPr>
          <w:rFonts w:ascii="Times New Roman" w:eastAsiaTheme="minorEastAsia" w:hAnsi="Times New Roman"/>
          <w:sz w:val="24"/>
          <w:szCs w:val="24"/>
        </w:rPr>
        <w:t xml:space="preserve">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33E8035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 og i den anledning har bedriften flere prosjekter vi kunne ta del i. Det var hovedsakelig praktiske oppgaver bedriften trengte hjelp med, og de h</w:t>
      </w:r>
      <w:r w:rsidR="00C33849">
        <w:rPr>
          <w:rFonts w:ascii="Times New Roman" w:eastAsiaTheme="minorEastAsia" w:hAnsi="Times New Roman"/>
          <w:sz w:val="24"/>
          <w:szCs w:val="24"/>
        </w:rPr>
        <w:t>adde et prosjekt som så</w:t>
      </w:r>
      <w:r w:rsidRPr="00780E82">
        <w:rPr>
          <w:rFonts w:ascii="Times New Roman" w:eastAsiaTheme="minorEastAsia" w:hAnsi="Times New Roman"/>
          <w:sz w:val="24"/>
          <w:szCs w:val="24"/>
        </w:rPr>
        <w:t xml:space="preserve"> </w:t>
      </w:r>
      <w:r w:rsidR="00C33849">
        <w:rPr>
          <w:rFonts w:ascii="Times New Roman" w:eastAsiaTheme="minorEastAsia" w:hAnsi="Times New Roman"/>
          <w:sz w:val="24"/>
          <w:szCs w:val="24"/>
        </w:rPr>
        <w:t xml:space="preserve">veldig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w:t>
      </w:r>
      <w:r w:rsidR="00C33849">
        <w:rPr>
          <w:rFonts w:ascii="Times New Roman" w:eastAsiaTheme="minorEastAsia" w:hAnsi="Times New Roman"/>
          <w:sz w:val="24"/>
          <w:szCs w:val="24"/>
        </w:rPr>
        <w:t xml:space="preserve">slinjen, samt en tilhørende CMS (Content Management system). </w:t>
      </w:r>
      <w:r w:rsidRPr="00780E82">
        <w:rPr>
          <w:rFonts w:ascii="Times New Roman" w:eastAsiaTheme="minorEastAsia" w:hAnsi="Times New Roman"/>
          <w:sz w:val="24"/>
          <w:szCs w:val="24"/>
        </w:rPr>
        <w:t xml:space="preserv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2" w:name="_Toc219522629"/>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3" w:name="_Toc219522630"/>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4" w:name="_Toc219522631"/>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5" w:name="_Toc219522632"/>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2A793C73"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 xml:space="preserve">Disse løsningene skal være fullt funksjonelle, noe som er vår hovedoppgave. I tillegg til dette ønsker vi å utvikle en eller flere tillleggsfunksjoner, som for eksempel zoomfunksjon (informasjonsvisualisering) og en interaktiv kartfunskjon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19522633"/>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230B5339" w:rsidR="00C771AE" w:rsidRPr="00C771AE" w:rsidRDefault="0082710D"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C771AE">
        <w:rPr>
          <w:rFonts w:ascii="Times New Roman" w:eastAsiaTheme="minorEastAsia" w:hAnsi="Times New Roman"/>
          <w:color w:val="262626"/>
          <w:sz w:val="24"/>
          <w:szCs w:val="24"/>
        </w:rPr>
        <w:t>Hvordan utvikle en tidslinje for viktige hendelser med tilhørende Content Management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6C673796" w:rsidR="00C771AE" w:rsidRPr="00C771AE" w:rsidRDefault="001B228D"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sidRPr="00C771AE">
        <w:rPr>
          <w:rFonts w:ascii="Times New Roman" w:eastAsiaTheme="minorEastAsia" w:hAnsi="Times New Roman"/>
          <w:color w:val="262626"/>
          <w:sz w:val="24"/>
          <w:szCs w:val="24"/>
        </w:rPr>
        <w:t>Hvordan utvikle en tidslinje og CMS med hensyn til brukervennlighet?</w:t>
      </w:r>
    </w:p>
    <w:p w14:paraId="098D2BB3" w14:textId="7371B630" w:rsidR="001B228D" w:rsidRDefault="00672089"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sidRPr="00C771AE">
        <w:rPr>
          <w:rFonts w:ascii="Times New Roman" w:eastAsiaTheme="minorEastAsia" w:hAnsi="Times New Roman"/>
          <w:color w:val="262626"/>
          <w:sz w:val="24"/>
          <w:szCs w:val="24"/>
        </w:rPr>
        <w:t>Hvordan ta hensyn til responsivt design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19522634"/>
      <w:r>
        <w:t>4.2</w:t>
      </w:r>
      <w:r w:rsidR="001B228D">
        <w:t xml:space="preserve"> Forventninger fra</w:t>
      </w:r>
      <w:r w:rsidR="008C0FD5">
        <w:t xml:space="preserve"> bedriften</w:t>
      </w:r>
      <w:bookmarkEnd w:id="7"/>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Overskrift2"/>
        <w:rPr>
          <w:color w:val="262626"/>
        </w:rPr>
      </w:pPr>
      <w:bookmarkStart w:id="8" w:name="_Toc219522635"/>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Pr="00780E82" w:rsidRDefault="0082710D" w:rsidP="005E4347">
      <w:pPr>
        <w:pStyle w:val="Overskrift2"/>
        <w:rPr>
          <w:color w:val="262626"/>
        </w:rPr>
      </w:pPr>
      <w:bookmarkStart w:id="9" w:name="_Toc219522636"/>
      <w:r>
        <w:t>4.4</w:t>
      </w:r>
      <w:r w:rsidR="005E4347">
        <w:t xml:space="preserve"> </w:t>
      </w:r>
      <w:r w:rsidR="00186EA6" w:rsidRPr="00780E82">
        <w:t>Teknisk</w:t>
      </w:r>
      <w:r w:rsidR="0040255F" w:rsidRPr="00780E82">
        <w:t xml:space="preserve"> </w:t>
      </w:r>
      <w:r w:rsidR="00186EA6" w:rsidRPr="00780E82">
        <w:t>løsning</w:t>
      </w:r>
      <w:bookmarkEnd w:id="9"/>
      <w:r w:rsidR="00186EA6" w:rsidRPr="00780E82">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JQuery,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0" w:name="_Toc219522637"/>
      <w:r>
        <w:t xml:space="preserve">4.5 </w:t>
      </w:r>
      <w:r w:rsidR="00186EA6" w:rsidRPr="00780E82">
        <w:t>Gruppens arbeidsprosess og metodikk</w:t>
      </w:r>
      <w:bookmarkEnd w:id="10"/>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1" w:name="_Toc219522638"/>
      <w:r>
        <w:t xml:space="preserve">4.6 </w:t>
      </w:r>
      <w:r w:rsidR="00186EA6" w:rsidRPr="00780E82">
        <w:t>Oppfølgning fra bedriften</w:t>
      </w:r>
      <w:bookmarkEnd w:id="11"/>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2" w:name="_Toc219522639"/>
      <w:r w:rsidRPr="005E4347">
        <w:rPr>
          <w:sz w:val="24"/>
          <w:szCs w:val="24"/>
        </w:rPr>
        <w:t xml:space="preserve">4.6.1 </w:t>
      </w:r>
      <w:r w:rsidR="00186EA6" w:rsidRPr="005E4347">
        <w:rPr>
          <w:sz w:val="24"/>
          <w:szCs w:val="24"/>
        </w:rPr>
        <w:t>Kontaktperson</w:t>
      </w:r>
      <w:bookmarkEnd w:id="12"/>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Overskrift1"/>
        <w:rPr>
          <w:color w:val="262626"/>
          <w:sz w:val="26"/>
          <w:szCs w:val="26"/>
        </w:rPr>
      </w:pPr>
      <w:bookmarkStart w:id="13" w:name="_Toc219522640"/>
      <w:r>
        <w:t xml:space="preserve">5.0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82710D"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82710D"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lang/>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lang/>
            </w:rPr>
            <w:t xml:space="preserve"> </w:t>
          </w:r>
          <w:r w:rsidR="00C1289B" w:rsidRPr="00C1289B">
            <w:rPr>
              <w:rFonts w:ascii="Times New Roman" w:hAnsi="Times New Roman" w:cs="Times New Roman"/>
              <w:noProof/>
              <w:sz w:val="24"/>
              <w:szCs w:val="24"/>
              <w:shd w:val="clear" w:color="auto" w:fill="FFFFFF"/>
              <w:lang/>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7D12224D" w:rsidR="00102E46" w:rsidRDefault="00102E46" w:rsidP="00C1289B">
          <w:pPr>
            <w:pStyle w:val="Overskrift1"/>
          </w:pPr>
          <w:r>
            <w:t>6.0 Bibliografi</w:t>
          </w:r>
          <w:bookmarkEnd w:id="16"/>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171BCD" w:rsidRDefault="00171BCD" w:rsidP="002048BF">
      <w:pPr>
        <w:spacing w:before="0" w:after="0"/>
      </w:pPr>
      <w:r>
        <w:separator/>
      </w:r>
    </w:p>
  </w:endnote>
  <w:endnote w:type="continuationSeparator" w:id="0">
    <w:p w14:paraId="6E517E5F" w14:textId="77777777" w:rsidR="00171BCD" w:rsidRDefault="00171BCD"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171BCD" w:rsidRDefault="00171BCD"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171BCD" w:rsidRPr="0025191F" w14:paraId="6C380FC4" w14:textId="77777777" w:rsidTr="0082710D">
      <w:tc>
        <w:tcPr>
          <w:tcW w:w="4816" w:type="pct"/>
          <w:tcBorders>
            <w:bottom w:val="nil"/>
            <w:right w:val="single" w:sz="4" w:space="0" w:color="BFBFBF"/>
          </w:tcBorders>
        </w:tcPr>
        <w:p w14:paraId="424C25FE" w14:textId="52D0012B" w:rsidR="00171BCD" w:rsidRDefault="00171BCD"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placeholder>
                <w:docPart w:val="0984F944F023A04F8AC3131F24C6D30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171BCD" w:rsidRDefault="00171BCD">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1289B">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171BCD" w:rsidRDefault="00171BCD">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171BCD" w:rsidRDefault="00171BCD" w:rsidP="002048BF">
      <w:pPr>
        <w:spacing w:before="0" w:after="0"/>
      </w:pPr>
      <w:r>
        <w:separator/>
      </w:r>
    </w:p>
  </w:footnote>
  <w:footnote w:type="continuationSeparator" w:id="0">
    <w:p w14:paraId="1B3CFE6E" w14:textId="77777777" w:rsidR="00171BCD" w:rsidRDefault="00171BCD"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171BCD" w:rsidRPr="000B63D8" w:rsidRDefault="00171BCD"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9"/>
  </w:num>
  <w:num w:numId="5">
    <w:abstractNumId w:val="4"/>
  </w:num>
  <w:num w:numId="6">
    <w:abstractNumId w:val="8"/>
  </w:num>
  <w:num w:numId="7">
    <w:abstractNumId w:val="2"/>
  </w:num>
  <w:num w:numId="8">
    <w:abstractNumId w:val="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02E46"/>
    <w:rsid w:val="00150F8A"/>
    <w:rsid w:val="00171BCD"/>
    <w:rsid w:val="00186EA6"/>
    <w:rsid w:val="001B228D"/>
    <w:rsid w:val="001D00CC"/>
    <w:rsid w:val="002048BF"/>
    <w:rsid w:val="00213DBC"/>
    <w:rsid w:val="00215681"/>
    <w:rsid w:val="00233C47"/>
    <w:rsid w:val="00276D2F"/>
    <w:rsid w:val="002A2E6F"/>
    <w:rsid w:val="002C0CA8"/>
    <w:rsid w:val="002C1D5F"/>
    <w:rsid w:val="002E05FB"/>
    <w:rsid w:val="00345E0E"/>
    <w:rsid w:val="0040255F"/>
    <w:rsid w:val="00407D78"/>
    <w:rsid w:val="00457B7E"/>
    <w:rsid w:val="004B68FD"/>
    <w:rsid w:val="004D0470"/>
    <w:rsid w:val="0055009E"/>
    <w:rsid w:val="0057232B"/>
    <w:rsid w:val="005E4347"/>
    <w:rsid w:val="005F2248"/>
    <w:rsid w:val="0060315D"/>
    <w:rsid w:val="00672089"/>
    <w:rsid w:val="00710E5B"/>
    <w:rsid w:val="007470E3"/>
    <w:rsid w:val="00780E82"/>
    <w:rsid w:val="00791C44"/>
    <w:rsid w:val="008004EE"/>
    <w:rsid w:val="00802452"/>
    <w:rsid w:val="00816FC2"/>
    <w:rsid w:val="0082710D"/>
    <w:rsid w:val="00855C76"/>
    <w:rsid w:val="008C0FD5"/>
    <w:rsid w:val="00935CF8"/>
    <w:rsid w:val="009720C4"/>
    <w:rsid w:val="00974C21"/>
    <w:rsid w:val="00977915"/>
    <w:rsid w:val="00980AC3"/>
    <w:rsid w:val="009C6D16"/>
    <w:rsid w:val="009C7EE0"/>
    <w:rsid w:val="00AB10C0"/>
    <w:rsid w:val="00AB10C4"/>
    <w:rsid w:val="00B46919"/>
    <w:rsid w:val="00BF1F13"/>
    <w:rsid w:val="00C03C55"/>
    <w:rsid w:val="00C1289B"/>
    <w:rsid w:val="00C33849"/>
    <w:rsid w:val="00C771AE"/>
    <w:rsid w:val="00D75422"/>
    <w:rsid w:val="00E57D17"/>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CE"/>
    <w:rsid w:val="003501F4"/>
    <w:rsid w:val="00CD28C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5FDE2C26-71C8-A748-B8C4-78991EA1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2349</Words>
  <Characters>12453</Characters>
  <Application>Microsoft Macintosh Word</Application>
  <DocSecurity>0</DocSecurity>
  <Lines>103</Lines>
  <Paragraphs>29</Paragraphs>
  <ScaleCrop>false</ScaleCrop>
  <Company/>
  <LinksUpToDate>false</LinksUpToDate>
  <CharactersWithSpaces>14773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Vegard Svendsen</cp:lastModifiedBy>
  <cp:revision>37</cp:revision>
  <dcterms:created xsi:type="dcterms:W3CDTF">2013-01-08T14:23:00Z</dcterms:created>
  <dcterms:modified xsi:type="dcterms:W3CDTF">2013-01-11T10:22:00Z</dcterms:modified>
</cp:coreProperties>
</file>