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/>
          <w:b/>
          <w:sz w:val="48"/>
          <w:szCs w:val="48"/>
        </w:rPr>
      </w:pPr>
      <w:bookmarkStart w:id="0" w:name="_Toc1545008788"/>
      <w:bookmarkStart w:id="1" w:name="_Toc1471312194"/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网络模拟器Packet Tracer的使用</w:t>
      </w:r>
      <w:r>
        <w:rPr>
          <w:rFonts w:hint="default" w:ascii="黑体" w:eastAsia="黑体"/>
          <w:sz w:val="28"/>
          <w:u w:val="single"/>
        </w:rPr>
        <w:tab/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8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bookmarkStart w:id="17" w:name="_GoBack"/>
      <w:bookmarkEnd w:id="17"/>
    </w:p>
    <w:p>
      <w:pPr>
        <w:pStyle w:val="2"/>
        <w:rPr>
          <w:rFonts w:hint="default"/>
        </w:rPr>
      </w:pPr>
      <w:r>
        <w:rPr>
          <w:rFonts w:hint="default"/>
        </w:rPr>
        <w:t>Lab2 网络模拟器Packet Tracer的使用</w:t>
      </w:r>
      <w:bookmarkEnd w:id="0"/>
      <w:bookmarkEnd w:id="1"/>
    </w:p>
    <w:p>
      <w:pPr>
        <w:pStyle w:val="3"/>
        <w:rPr>
          <w:rFonts w:hint="default"/>
        </w:rPr>
      </w:pPr>
      <w:bookmarkStart w:id="2" w:name="_Toc425664841"/>
      <w:bookmarkStart w:id="3" w:name="_Toc1946670349"/>
      <w:r>
        <w:rPr>
          <w:rFonts w:hint="default"/>
        </w:rPr>
        <w:t>2.1 环境</w:t>
      </w:r>
      <w:bookmarkEnd w:id="2"/>
      <w:bookmarkEnd w:id="3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PacketTracer 7.2.1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4" w:name="_Toc479187345"/>
      <w:bookmarkStart w:id="5" w:name="_Toc1358732698"/>
      <w:r>
        <w:rPr>
          <w:rFonts w:hint="default"/>
        </w:rPr>
        <w:t>2.2 实验目的</w:t>
      </w:r>
      <w:bookmarkEnd w:id="4"/>
      <w:bookmarkEnd w:id="5"/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掌握使用Packet Tracer模拟网络场景的基本方法，加深对网络环境、 网络设备和网络协议交互过程等方面的理解。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default"/>
        </w:rPr>
        <w:t>安装和配置网络模拟器软件Packet Tracer， 观察与IP网络接口的各种网络硬件及其适用场合。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6" w:name="_Toc290765562"/>
      <w:bookmarkStart w:id="7" w:name="_Toc299595065"/>
      <w:r>
        <w:rPr>
          <w:rFonts w:hint="default"/>
        </w:rPr>
        <w:t>2.3 实验内容及步骤</w:t>
      </w:r>
      <w:bookmarkEnd w:id="6"/>
      <w:bookmarkEnd w:id="7"/>
    </w:p>
    <w:p>
      <w:pPr>
        <w:pStyle w:val="4"/>
        <w:rPr>
          <w:rFonts w:hint="default"/>
        </w:rPr>
      </w:pPr>
      <w:bookmarkStart w:id="8" w:name="_Toc991420023"/>
      <w:r>
        <w:rPr>
          <w:rFonts w:hint="default"/>
        </w:rPr>
        <w:t>2.3.1 安装</w:t>
      </w:r>
      <w:bookmarkEnd w:id="8"/>
    </w:p>
    <w:p>
      <w:pPr>
        <w:numPr>
          <w:ilvl w:val="0"/>
          <w:numId w:val="2"/>
        </w:numPr>
        <w:ind w:left="425" w:leftChars="0" w:hanging="425" w:firstLineChars="0"/>
      </w:pPr>
      <w:r>
        <w:t>安装网络模拟器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</w:pPr>
      <w:r>
        <w:t xml:space="preserve">从官网下载./tar.gz 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</w:pPr>
      <w:r>
        <w:t>执行./install安装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</w:pPr>
      <w:r>
        <w:t>Packettracer脚本运行</w:t>
      </w:r>
    </w:p>
    <w:p>
      <w:pPr>
        <w:numPr>
          <w:ilvl w:val="0"/>
          <w:numId w:val="2"/>
        </w:numPr>
        <w:ind w:left="425" w:leftChars="0" w:hanging="425" w:firstLineChars="0"/>
      </w:pPr>
      <w:r>
        <w:t>使用网络模拟器</w:t>
      </w: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pStyle w:val="4"/>
      </w:pPr>
      <w:bookmarkStart w:id="9" w:name="_Toc1970581187"/>
      <w:r>
        <w:t>2.3.2 环境测试</w:t>
      </w:r>
      <w:bookmarkEnd w:id="9"/>
    </w:p>
    <w:p>
      <w:r>
        <w:t>两台Terminal通过Switch使用Copper Cross-over 直接连接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ab/>
      </w:r>
      <w:r>
        <w:rPr>
          <w:rFonts w:hint="default"/>
          <w:lang w:val="en-US" w:eastAsia="zh-CN"/>
        </w:rPr>
        <w:t>192.168.1.2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Gateway：     192.168.1.1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 xml:space="preserve">   </w:t>
      </w:r>
      <w:r>
        <w:rPr>
          <w:rFonts w:hint="default"/>
          <w:lang w:val="en-US" w:eastAsia="zh-CN"/>
        </w:rPr>
        <w:t>192.168.1.3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 Gateway：     192.168.1.1</w:t>
      </w:r>
    </w:p>
    <w:p/>
    <w:p>
      <w:pPr>
        <w:pStyle w:val="9"/>
      </w:pPr>
      <w:r>
        <w:drawing>
          <wp:inline distT="0" distB="0" distL="114300" distR="114300">
            <wp:extent cx="3228340" cy="2495550"/>
            <wp:effectExtent l="0" t="0" r="1016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图2-1 环境测试</w:t>
      </w:r>
    </w:p>
    <w:p>
      <w:pPr>
        <w:pStyle w:val="9"/>
      </w:pPr>
      <w:r>
        <w:drawing>
          <wp:inline distT="0" distB="0" distL="114300" distR="114300">
            <wp:extent cx="3903345" cy="2629535"/>
            <wp:effectExtent l="0" t="0" r="1905" b="184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图2-2 PC0 ping PC1</w:t>
      </w:r>
    </w:p>
    <w:p>
      <w:pPr>
        <w:pStyle w:val="9"/>
      </w:pPr>
    </w:p>
    <w:p>
      <w:pPr>
        <w:pStyle w:val="4"/>
      </w:pPr>
      <w:bookmarkStart w:id="10" w:name="_Toc233245116"/>
      <w:r>
        <w:t>2.3.3 交换机配置</w:t>
      </w:r>
      <w:bookmarkEnd w:id="10"/>
    </w:p>
    <w:p>
      <w:r>
        <w:t>交换机vlan 1远程管理配置</w:t>
      </w:r>
    </w:p>
    <w:p>
      <w:pPr>
        <w:ind w:firstLine="600" w:firstLineChars="250"/>
        <w:rPr>
          <w:rFonts w:hint="default"/>
        </w:rPr>
      </w:pPr>
      <w:r>
        <w:rPr>
          <w:rFonts w:hint="default"/>
          <w:lang w:val="en-US" w:eastAsia="zh-CN"/>
        </w:rPr>
        <w:t> IP：         </w:t>
      </w:r>
      <w:r>
        <w:rPr>
          <w:rFonts w:hint="default"/>
          <w:lang w:eastAsia="zh-CN"/>
        </w:rPr>
        <w:t xml:space="preserve">  </w:t>
      </w:r>
      <w:r>
        <w:rPr>
          <w:rFonts w:hint="default"/>
          <w:lang w:val="en-US" w:eastAsia="zh-CN"/>
        </w:rPr>
        <w:t>192.168.1.3</w:t>
      </w:r>
    </w:p>
    <w:p>
      <w:r>
        <w:rPr>
          <w:rFonts w:hint="default"/>
          <w:lang w:val="en-US" w:eastAsia="zh-CN"/>
        </w:rPr>
        <w:t>        Submask：     255.255.255.0</w:t>
      </w:r>
    </w:p>
    <w:p>
      <w:pPr>
        <w:pStyle w:val="9"/>
      </w:pPr>
      <w:r>
        <w:drawing>
          <wp:inline distT="0" distB="0" distL="114300" distR="114300">
            <wp:extent cx="2790190" cy="2733040"/>
            <wp:effectExtent l="0" t="0" r="10160" b="1016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图2-3 交换机控制网络图</w:t>
      </w:r>
    </w:p>
    <w:p>
      <w:pPr>
        <w:pStyle w:val="9"/>
      </w:pPr>
      <w:r>
        <w:drawing>
          <wp:inline distT="0" distB="0" distL="114300" distR="114300">
            <wp:extent cx="4028440" cy="3625850"/>
            <wp:effectExtent l="0" t="0" r="10160" b="1270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图2-4 交换机配流图</w:t>
      </w:r>
    </w:p>
    <w:p>
      <w:pPr>
        <w:pStyle w:val="9"/>
      </w:pPr>
      <w:r>
        <w:drawing>
          <wp:inline distT="0" distB="0" distL="114300" distR="114300">
            <wp:extent cx="3045460" cy="2437765"/>
            <wp:effectExtent l="0" t="0" r="2540" b="63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图2-5 交换机配置结果</w:t>
      </w:r>
    </w:p>
    <w:p>
      <w:pPr>
        <w:pStyle w:val="9"/>
      </w:pPr>
      <w:r>
        <w:drawing>
          <wp:inline distT="0" distB="0" distL="114300" distR="114300">
            <wp:extent cx="2736215" cy="1376045"/>
            <wp:effectExtent l="0" t="0" r="6985" b="1460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图2-6 交换机配置结果测试</w:t>
      </w:r>
    </w:p>
    <w:p>
      <w:pPr>
        <w:pStyle w:val="4"/>
      </w:pPr>
      <w:r>
        <w:t>2.3.3 链路层聚合</w:t>
      </w:r>
    </w:p>
    <w:p>
      <w:pPr>
        <w:pStyle w:val="9"/>
      </w:pPr>
      <w:r>
        <w:drawing>
          <wp:inline distT="0" distB="0" distL="114300" distR="114300">
            <wp:extent cx="3898900" cy="2967990"/>
            <wp:effectExtent l="0" t="0" r="6350" b="3810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图2-7 交换机链路聚合测试网络拓扑图</w: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r>
        <w:t>交换机配置命令：</w:t>
      </w:r>
    </w:p>
    <w:p>
      <w:r>
        <w:t>Switch&gt;enable</w:t>
      </w:r>
    </w:p>
    <w:p>
      <w:r>
        <w:rPr>
          <w:rFonts w:hint="default"/>
        </w:rPr>
        <w:t>Switch#config t</w:t>
      </w:r>
    </w:p>
    <w:p>
      <w:r>
        <w:rPr>
          <w:rFonts w:hint="default"/>
        </w:rPr>
        <w:t xml:space="preserve">Switch(config)#interface range fa 0/1-2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 </w:t>
      </w:r>
      <w:r>
        <w:rPr>
          <w:rFonts w:hint="default"/>
        </w:rPr>
        <w:tab/>
      </w:r>
      <w:r>
        <w:rPr>
          <w:rFonts w:hint="default"/>
        </w:rPr>
        <w:t>//同时选择端口fa0/1 fa0/2</w:t>
      </w:r>
    </w:p>
    <w:p>
      <w:r>
        <w:rPr>
          <w:rFonts w:hint="default"/>
        </w:rPr>
        <w:t xml:space="preserve">Switch(config-if-range)#Switchport mode trunk   </w:t>
      </w:r>
      <w:r>
        <w:rPr>
          <w:rFonts w:hint="default"/>
        </w:rPr>
        <w:tab/>
      </w:r>
      <w:r>
        <w:rPr>
          <w:rFonts w:hint="default"/>
        </w:rPr>
        <w:t>//设置端口模式为trunk</w:t>
      </w:r>
    </w:p>
    <w:p>
      <w:r>
        <w:rPr>
          <w:rFonts w:hint="default"/>
        </w:rPr>
        <w:t xml:space="preserve">Switch(config-if-range)#channel-group 1 mode on </w:t>
      </w:r>
      <w:r>
        <w:rPr>
          <w:rFonts w:hint="default"/>
        </w:rPr>
        <w:tab/>
      </w:r>
      <w:r>
        <w:rPr>
          <w:rFonts w:hint="default"/>
        </w:rPr>
        <w:t>//加入链路组1并开启</w:t>
      </w:r>
    </w:p>
    <w:p>
      <w:r>
        <w:rPr>
          <w:rFonts w:hint="default"/>
        </w:rPr>
        <w:t>Switch(config-if-range)#exit</w:t>
      </w:r>
    </w:p>
    <w:p>
      <w:r>
        <w:rPr>
          <w:rFonts w:hint="default"/>
        </w:rPr>
        <w:t xml:space="preserve">Switch(config)#port-channel load-balance dst-ip </w:t>
      </w:r>
      <w:r>
        <w:rPr>
          <w:rFonts w:hint="default"/>
        </w:rPr>
        <w:tab/>
      </w:r>
      <w:r>
        <w:rPr>
          <w:rFonts w:hint="default"/>
        </w:rPr>
        <w:t>//按照目标主机IP地址数据分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//发来实现负载平衡</w:t>
      </w:r>
    </w:p>
    <w:p>
      <w:pPr>
        <w:rPr>
          <w:rFonts w:hint="default"/>
        </w:rPr>
      </w:pPr>
      <w:r>
        <w:rPr>
          <w:rFonts w:hint="default"/>
        </w:rPr>
        <w:t>Switch(config)#exit</w:t>
      </w:r>
    </w:p>
    <w:p>
      <w:pPr>
        <w:rPr>
          <w:rFonts w:hint="default"/>
        </w:rPr>
      </w:pPr>
      <w:r>
        <w:rPr>
          <w:rFonts w:hint="default"/>
        </w:rPr>
        <w:t xml:space="preserve">Switch#show etherchannel summary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   //显示以太信道概况</w:t>
      </w:r>
    </w:p>
    <w:p/>
    <w:p>
      <w:r>
        <w:drawing>
          <wp:inline distT="0" distB="0" distL="114300" distR="114300">
            <wp:extent cx="5272405" cy="2594610"/>
            <wp:effectExtent l="0" t="0" r="4445" b="1524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图2-8 Switch0 配置</w:t>
      </w:r>
    </w:p>
    <w:p>
      <w:r>
        <w:t>对switch1做同样的配置</w:t>
      </w:r>
    </w:p>
    <w:p>
      <w:r>
        <w:drawing>
          <wp:inline distT="0" distB="0" distL="114300" distR="114300">
            <wp:extent cx="5267960" cy="2044065"/>
            <wp:effectExtent l="0" t="0" r="8890" b="1333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图2-9 进行ping验证</w:t>
      </w:r>
    </w:p>
    <w:p>
      <w:pPr>
        <w:pStyle w:val="4"/>
      </w:pPr>
      <w:r>
        <w:t>2.3.4 Vlan测试</w:t>
      </w:r>
    </w:p>
    <w:p>
      <w:r>
        <w:drawing>
          <wp:inline distT="0" distB="0" distL="114300" distR="114300">
            <wp:extent cx="5274310" cy="2252980"/>
            <wp:effectExtent l="0" t="0" r="2540" b="13970"/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图2-10 Vlan测试网络拓扑图</w:t>
      </w:r>
    </w:p>
    <w:p>
      <w:pPr>
        <w:pStyle w:val="9"/>
      </w:pPr>
      <w:r>
        <w:drawing>
          <wp:inline distT="0" distB="0" distL="114300" distR="114300">
            <wp:extent cx="5270500" cy="2665730"/>
            <wp:effectExtent l="0" t="0" r="6350" b="1270"/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图2-11 Vlan网络配置图</w:t>
      </w:r>
    </w:p>
    <w:p>
      <w:pPr>
        <w:pStyle w:val="9"/>
      </w:pPr>
      <w:r>
        <w:drawing>
          <wp:inline distT="0" distB="0" distL="114300" distR="114300">
            <wp:extent cx="3602990" cy="2626360"/>
            <wp:effectExtent l="0" t="0" r="16510" b="254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图2-12 PC0 Ping PC2 测试图</w:t>
      </w:r>
    </w:p>
    <w:p>
      <w:pPr>
        <w:pStyle w:val="9"/>
      </w:pPr>
    </w:p>
    <w:p>
      <w:pPr>
        <w:pStyle w:val="4"/>
      </w:pPr>
      <w:r>
        <w:t>2.3.5 三层交换机测试</w:t>
      </w:r>
    </w:p>
    <w:p>
      <w:pPr>
        <w:pStyle w:val="9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638550" cy="2127250"/>
            <wp:effectExtent l="0" t="0" r="0" b="6350"/>
            <wp:docPr id="51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rPr>
          <w:lang w:eastAsia="zh-CN"/>
        </w:rPr>
        <w:t>图2-13 三层交换机网络拓扑图</w:t>
      </w:r>
    </w:p>
    <w:p>
      <w:pPr>
        <w:pStyle w:val="9"/>
      </w:pPr>
      <w:r>
        <w:drawing>
          <wp:inline distT="0" distB="0" distL="114300" distR="114300">
            <wp:extent cx="5274310" cy="2324100"/>
            <wp:effectExtent l="0" t="0" r="254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图2-14 三层交换机实现Vlan间路由转发测试图</w:t>
      </w:r>
    </w:p>
    <w:p>
      <w:pPr>
        <w:pStyle w:val="4"/>
      </w:pPr>
      <w:r>
        <w:t>2.3.4</w:t>
      </w:r>
      <w:r>
        <w:rPr>
          <w:rFonts w:hint="eastAsia"/>
        </w:rPr>
        <w:t>观察与IP网络接口的各种网络硬件</w:t>
      </w:r>
    </w:p>
    <w:p>
      <w:pPr>
        <w:ind w:firstLine="420" w:firstLineChars="0"/>
      </w:pPr>
      <w:r>
        <w:rPr>
          <w:rFonts w:hint="eastAsia"/>
        </w:rPr>
        <w:t>从PacketTracer中打开路由器2620XM的物理设备视图，仔细做下列工作：观察有关NM-1FE-</w:t>
      </w:r>
      <w:r>
        <w:t>FX</w:t>
      </w:r>
      <w:r>
        <w:rPr>
          <w:rFonts w:hint="eastAsia"/>
        </w:rPr>
        <w:t>模块描述；将其拖入设备，观察模块面板上的硬件接口情况；做笔记，并自行分析该模块的适用场合。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对路由器26</w:t>
      </w:r>
      <w:r>
        <w:t>20XM</w:t>
      </w:r>
      <w:r>
        <w:rPr>
          <w:rFonts w:hint="eastAsia"/>
        </w:rPr>
        <w:t>的NM-1FE-TX、NM-2FE2W、NM-8AM、NM</w:t>
      </w:r>
      <w:r>
        <w:t xml:space="preserve"> cover plate</w:t>
      </w:r>
      <w:r>
        <w:rPr>
          <w:rFonts w:hint="eastAsia"/>
        </w:rPr>
        <w:t>模块分别做上述工作。</w:t>
      </w:r>
    </w:p>
    <w:p>
      <w:pPr>
        <w:pStyle w:val="4"/>
        <w:rPr>
          <w:rFonts w:hint="default"/>
        </w:rPr>
      </w:pPr>
      <w:r>
        <w:rPr>
          <w:rFonts w:hint="default"/>
        </w:rPr>
        <w:t>2.3.5 ping和traceroute实验</w:t>
      </w:r>
    </w:p>
    <w:p>
      <w:pPr>
        <w:numPr>
          <w:ilvl w:val="0"/>
          <w:numId w:val="3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创建链路</w:t>
      </w:r>
    </w:p>
    <w:p>
      <w:pPr>
        <w:numPr>
          <w:ilvl w:val="0"/>
          <w:numId w:val="3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配置网络</w:t>
      </w:r>
    </w:p>
    <w:p>
      <w:pPr>
        <w:numPr>
          <w:ilvl w:val="0"/>
          <w:numId w:val="3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配置路由器端口</w:t>
      </w:r>
    </w:p>
    <w:p>
      <w:pPr>
        <w:numPr>
          <w:ilvl w:val="0"/>
          <w:numId w:val="3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使用命令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1" w:name="_Toc913581105"/>
      <w:bookmarkStart w:id="12" w:name="_Toc1021258584"/>
      <w:r>
        <w:rPr>
          <w:rFonts w:hint="default"/>
        </w:rPr>
        <w:t>2.4 实验结果</w:t>
      </w:r>
      <w:bookmarkEnd w:id="11"/>
      <w:bookmarkEnd w:id="12"/>
    </w:p>
    <w:p>
      <w:pPr>
        <w:pStyle w:val="4"/>
        <w:rPr>
          <w:rFonts w:hint="default"/>
        </w:rPr>
      </w:pPr>
      <w:r>
        <w:rPr>
          <w:rFonts w:hint="default"/>
        </w:rPr>
        <w:t>2.4.1 网络拓扑图</w:t>
      </w:r>
    </w:p>
    <w:p>
      <w:pPr>
        <w:rPr>
          <w:rFonts w:hint="default"/>
        </w:rPr>
      </w:pPr>
      <w:r>
        <w:rPr>
          <w:rFonts w:hint="default"/>
        </w:rPr>
        <w:t>如实验过程所示，进行各种设备的相应配置和测试。</w:t>
      </w:r>
    </w:p>
    <w:p>
      <w:pPr>
        <w:pStyle w:val="4"/>
        <w:rPr>
          <w:rFonts w:hint="default"/>
        </w:rPr>
      </w:pPr>
      <w:r>
        <w:rPr>
          <w:rFonts w:hint="default"/>
        </w:rPr>
        <w:t>2.4.2 设备观察</w:t>
      </w:r>
    </w:p>
    <w:p>
      <w:pPr>
        <w:pStyle w:val="9"/>
      </w:pPr>
      <w:r>
        <w:drawing>
          <wp:inline distT="0" distB="0" distL="114300" distR="114300">
            <wp:extent cx="5273040" cy="539115"/>
            <wp:effectExtent l="0" t="0" r="3810" b="1333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图2-15 Route2620XM缺省模块图</w:t>
      </w:r>
    </w:p>
    <w:p>
      <w:pPr>
        <w:rPr>
          <w:rFonts w:hint="default"/>
        </w:rPr>
      </w:pPr>
      <w:r>
        <w:rPr>
          <w:rFonts w:hint="default"/>
        </w:rPr>
        <w:t>端口：</w:t>
      </w:r>
    </w:p>
    <w:p>
      <w:pPr>
        <w:rPr>
          <w:rFonts w:hint="default"/>
        </w:rPr>
      </w:pPr>
      <w:r>
        <w:rPr>
          <w:rFonts w:hint="default"/>
        </w:rPr>
        <w:t>ETHRNET 10/100以太网端口</w:t>
      </w:r>
    </w:p>
    <w:p>
      <w:pPr>
        <w:rPr>
          <w:rFonts w:hint="default"/>
        </w:rPr>
      </w:pPr>
      <w:r>
        <w:rPr>
          <w:rFonts w:hint="default"/>
        </w:rPr>
        <w:t>CONSOLE 端口</w:t>
      </w:r>
    </w:p>
    <w:p>
      <w:pPr>
        <w:rPr>
          <w:rFonts w:hint="default"/>
        </w:rPr>
      </w:pPr>
      <w:r>
        <w:rPr>
          <w:rFonts w:hint="default"/>
        </w:rPr>
        <w:t>AUX</w:t>
      </w:r>
      <w:r>
        <w:rPr>
          <w:rFonts w:hint="default"/>
        </w:rPr>
        <w:tab/>
      </w:r>
      <w:r>
        <w:rPr>
          <w:rFonts w:hint="default"/>
        </w:rPr>
        <w:t>端口</w:t>
      </w:r>
    </w:p>
    <w:p>
      <w:pPr>
        <w:pStyle w:val="9"/>
      </w:pPr>
      <w:r>
        <w:drawing>
          <wp:inline distT="0" distB="0" distL="114300" distR="114300">
            <wp:extent cx="3790315" cy="990600"/>
            <wp:effectExtent l="0" t="0" r="635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default"/>
        </w:rPr>
      </w:pPr>
      <w:r>
        <w:t xml:space="preserve">图2-16 </w:t>
      </w:r>
      <w:r>
        <w:rPr>
          <w:rFonts w:hint="eastAsia"/>
        </w:rPr>
        <w:t>NM-1FE-TX</w:t>
      </w:r>
      <w:r>
        <w:rPr>
          <w:rFonts w:hint="default"/>
        </w:rPr>
        <w:t>模块图</w:t>
      </w:r>
    </w:p>
    <w:p>
      <w:pPr>
        <w:pStyle w:val="9"/>
      </w:pPr>
      <w:r>
        <w:drawing>
          <wp:inline distT="0" distB="0" distL="114300" distR="114300">
            <wp:extent cx="3666490" cy="876300"/>
            <wp:effectExtent l="0" t="0" r="1016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default"/>
        </w:rPr>
      </w:pPr>
      <w:r>
        <w:t xml:space="preserve">图2-17 </w:t>
      </w:r>
      <w:r>
        <w:rPr>
          <w:rFonts w:hint="eastAsia"/>
        </w:rPr>
        <w:t>NM-2FE2W</w:t>
      </w:r>
      <w:r>
        <w:rPr>
          <w:rFonts w:hint="default"/>
        </w:rPr>
        <w:t>模块图</w:t>
      </w:r>
    </w:p>
    <w:p>
      <w:pPr>
        <w:pStyle w:val="9"/>
      </w:pPr>
      <w:r>
        <w:drawing>
          <wp:inline distT="0" distB="0" distL="114300" distR="114300">
            <wp:extent cx="3723640" cy="914400"/>
            <wp:effectExtent l="0" t="0" r="1016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default"/>
        </w:rPr>
      </w:pPr>
      <w:r>
        <w:t xml:space="preserve">图2-18 </w:t>
      </w:r>
      <w:r>
        <w:rPr>
          <w:rFonts w:hint="eastAsia"/>
        </w:rPr>
        <w:t>NM-8AM</w:t>
      </w:r>
      <w:r>
        <w:rPr>
          <w:rFonts w:hint="default"/>
        </w:rPr>
        <w:t>模块图</w:t>
      </w:r>
    </w:p>
    <w:p>
      <w:pPr>
        <w:pStyle w:val="9"/>
      </w:pPr>
      <w:r>
        <w:drawing>
          <wp:inline distT="0" distB="0" distL="114300" distR="114300">
            <wp:extent cx="3752215" cy="914400"/>
            <wp:effectExtent l="0" t="0" r="635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default"/>
        </w:rPr>
      </w:pPr>
      <w:r>
        <w:t xml:space="preserve">图2-19 </w:t>
      </w:r>
      <w:r>
        <w:rPr>
          <w:rFonts w:hint="eastAsia"/>
        </w:rPr>
        <w:t>NM</w:t>
      </w:r>
      <w:r>
        <w:t xml:space="preserve"> cover plate</w:t>
      </w:r>
      <w:r>
        <w:rPr>
          <w:rFonts w:hint="default"/>
        </w:rPr>
        <w:t>模块图</w:t>
      </w:r>
    </w:p>
    <w:p>
      <w:pPr>
        <w:pStyle w:val="9"/>
      </w:pPr>
      <w:r>
        <w:drawing>
          <wp:inline distT="0" distB="0" distL="114300" distR="114300">
            <wp:extent cx="5271770" cy="698500"/>
            <wp:effectExtent l="0" t="0" r="5080" b="635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default"/>
        </w:rPr>
      </w:pPr>
      <w:r>
        <w:t>图2-20 其余模块拓展槽</w:t>
      </w:r>
    </w:p>
    <w:p>
      <w:pPr>
        <w:rPr>
          <w:rFonts w:hint="default"/>
        </w:rPr>
      </w:pPr>
      <w:r>
        <w:rPr>
          <w:rFonts w:hint="default"/>
        </w:rPr>
        <w:t>从图中我们可以看到，总共提供了</w:t>
      </w:r>
      <w:r>
        <w:t>Route2620</w:t>
      </w:r>
      <w:r>
        <w:rPr>
          <w:rFonts w:hint="default"/>
        </w:rPr>
        <w:t>三块模块拓展槽，可以使用不同的拓展模块进行接口的拓展，同时也可以使用面板覆盖进行缺省。</w:t>
      </w:r>
    </w:p>
    <w:p>
      <w:pPr>
        <w:pStyle w:val="4"/>
        <w:rPr>
          <w:rFonts w:hint="default"/>
        </w:rPr>
      </w:pPr>
      <w:r>
        <w:rPr>
          <w:rFonts w:hint="default"/>
        </w:rPr>
        <w:t>2.4.3 命令及报文跟踪</w:t>
      </w:r>
    </w:p>
    <w:p>
      <w:pPr>
        <w:pStyle w:val="9"/>
      </w:pPr>
      <w:r>
        <w:drawing>
          <wp:inline distT="0" distB="0" distL="114300" distR="114300">
            <wp:extent cx="5271135" cy="2735580"/>
            <wp:effectExtent l="0" t="0" r="5715" b="7620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default"/>
        </w:rPr>
      </w:pPr>
      <w:r>
        <w:t>图2-21 报文追踪图</w:t>
      </w:r>
    </w:p>
    <w:p>
      <w:pPr>
        <w:pStyle w:val="9"/>
        <w:rPr>
          <w:rStyle w:val="11"/>
        </w:rPr>
      </w:pPr>
      <w:r>
        <w:t>s</w:t>
      </w:r>
      <w:r>
        <w:rPr>
          <w:rStyle w:val="11"/>
        </w:rPr>
        <w:drawing>
          <wp:inline distT="0" distB="0" distL="114300" distR="114300">
            <wp:extent cx="2998470" cy="3775075"/>
            <wp:effectExtent l="0" t="0" r="11430" b="15875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77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Style w:val="11"/>
        </w:rPr>
      </w:pPr>
      <w:r>
        <w:rPr>
          <w:rStyle w:val="11"/>
        </w:rPr>
        <w:t>图2-22 报文图</w:t>
      </w:r>
    </w:p>
    <w:p>
      <w:pPr>
        <w:pStyle w:val="9"/>
        <w:rPr>
          <w:rStyle w:val="11"/>
        </w:rPr>
      </w:pPr>
    </w:p>
    <w:p>
      <w:pPr>
        <w:pStyle w:val="9"/>
        <w:jc w:val="both"/>
        <w:rPr>
          <w:rStyle w:val="11"/>
          <w:rFonts w:hint="default"/>
        </w:rPr>
      </w:pPr>
    </w:p>
    <w:p>
      <w:pPr>
        <w:pStyle w:val="9"/>
        <w:jc w:val="both"/>
        <w:rPr>
          <w:rStyle w:val="11"/>
          <w:rFonts w:hint="default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bookmarkStart w:id="13" w:name="_Toc1809655490"/>
      <w:bookmarkStart w:id="14" w:name="_Toc670189836"/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bookmarkEnd w:id="13"/>
      <w:bookmarkEnd w:id="1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Cisio Packet Tracer整个模拟软件十分有趣，实验过程中尝试了不同的器件，对于许多设备的模拟十分逼真，比如使用二层交换机的时候需要把电话的界面打开，手动插上电源线，而使用三层交换机的时候提供POE供电，此时还可以分析整个交换机的负载功率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对于交换机，三层交换机可以充当路由功能或者交换机功能，在交换机的配置平台中可以进行切换，而交换机提供了VLAN可以灵活划分节点的广播域且容易修改，提高了灵活性，而Packet Tracer也提供了思科私有的ISL协议实现交换机之间的VLAN中继。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对于线的使用上，同类设备交叉线，异类设备直通线，这么设计的目的是因为网口标准是相同的情况下，线序是对称的，需要把发送端口接上接通端口故需要使用交叉线，而中间如果有中继设备则提供转接服务。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而且，PacketTracer中可以设置物理环境，包括光照，大气环境，辐射强度，进行真实的物理环境下的网络模拟。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报文跟踪中，可以看到，由于仿真环境，直接划分不同设备的层次，可以明显看到在路由器报文的层次变化，以及各层次的报文头。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整个实验十分有趣，学习了PacketTracer中各种元器件的仿真使用，且其命令行配置与真实环境基本一致，同时尝试了物联网设备的使用。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15" w:name="_Toc986769850"/>
      <w:bookmarkStart w:id="16" w:name="_Toc637193378"/>
      <w:r>
        <w:rPr>
          <w:rFonts w:hint="default"/>
        </w:rPr>
        <w:t>参考文献</w:t>
      </w:r>
      <w:bookmarkEnd w:id="15"/>
      <w:bookmarkEnd w:id="16"/>
    </w:p>
    <w:p>
      <w:pPr>
        <w:numPr>
          <w:ilvl w:val="0"/>
          <w:numId w:val="4"/>
        </w:num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 xml:space="preserve">Cisco Packet Tracer 实验教程 </w:t>
      </w:r>
      <w:r>
        <w:rPr>
          <w:rFonts w:hint="default"/>
        </w:rPr>
        <w:tab/>
      </w:r>
      <w:r>
        <w:rPr>
          <w:rFonts w:hint="default"/>
        </w:rPr>
        <w:t>https://blog.csdn.net/al_assad/article/details/70255987</w:t>
      </w:r>
    </w:p>
    <w:p/>
    <w:sectPr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altName w:val="WenQuanYi Micro Hei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WAAAAZHJzL1BLAQIUABQAAAAIAIdO4kCzSVju0AAAAAUBAAAPAAAA&#10;AAAAAAEAIAAAADgAAABkcnMvZG93bnJldi54bWxQSwECFAAUAAAACACHTuJAwkKTGrICAADVBQAA&#10;DgAAAAAAAAABACAAAAA1AQAAZHJzL2Uyb0RvYy54bWxQSwUGAAAAAAYABgBZAQAAWQ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74163E"/>
    <w:multiLevelType w:val="multilevel"/>
    <w:tmpl w:val="F174163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3FFDF05"/>
    <w:multiLevelType w:val="singleLevel"/>
    <w:tmpl w:val="F3FFDF05"/>
    <w:lvl w:ilvl="0" w:tentative="0">
      <w:start w:val="1"/>
      <w:numFmt w:val="decimal"/>
      <w:suff w:val="space"/>
      <w:lvlText w:val="[%1]"/>
      <w:lvlJc w:val="left"/>
    </w:lvl>
  </w:abstractNum>
  <w:abstractNum w:abstractNumId="2">
    <w:nsid w:val="FDAF45C5"/>
    <w:multiLevelType w:val="singleLevel"/>
    <w:tmpl w:val="FDAF45C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6CF260CB"/>
    <w:multiLevelType w:val="singleLevel"/>
    <w:tmpl w:val="6CF260C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9FFA8D7"/>
    <w:rsid w:val="3DFEB2E3"/>
    <w:rsid w:val="6DB71C4F"/>
    <w:rsid w:val="B9FFA8D7"/>
    <w:rsid w:val="BFEBF2E7"/>
    <w:rsid w:val="C7F7CE9D"/>
    <w:rsid w:val="F4DF7EE0"/>
    <w:rsid w:val="FADFD80C"/>
    <w:rsid w:val="FD7FADB5"/>
    <w:rsid w:val="FF36B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="SimSun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rFonts w:eastAsia="SimSun"/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eastAsia="SimSu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9">
    <w:name w:val="GraphText"/>
    <w:basedOn w:val="10"/>
    <w:link w:val="11"/>
    <w:qFormat/>
    <w:uiPriority w:val="0"/>
  </w:style>
  <w:style w:type="paragraph" w:customStyle="1" w:styleId="10">
    <w:name w:val="A_GraphTitle"/>
    <w:basedOn w:val="1"/>
    <w:qFormat/>
    <w:uiPriority w:val="0"/>
    <w:pPr>
      <w:jc w:val="center"/>
    </w:pPr>
    <w:rPr>
      <w:b/>
      <w:sz w:val="21"/>
    </w:rPr>
  </w:style>
  <w:style w:type="character" w:customStyle="1" w:styleId="11">
    <w:name w:val="GraphText Char"/>
    <w:link w:val="9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2018-10-09T20:24:00Z</dcterms:created>
  <dc:creator>hover</dc:creator>
  <cp:lastModifiedBy>hover</cp:lastModifiedBy>
  <dcterms:modified xsi:type="dcterms:W3CDTF">2018-10-09T20:26:05Z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