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Матевосян</w:t>
      </w:r>
      <w:r>
        <w:t xml:space="preserve"> </w:t>
      </w:r>
      <w:r>
        <w:t xml:space="preserve">Оганес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 и перешел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Создал новый каталог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для работы.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56325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1"/>
        </w:numPr>
      </w:pPr>
      <w:r>
        <w:t xml:space="preserve">Создал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открыл его для редактирования и написал начальный код программы.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225490" cy="5014762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Программа lab05-1.asm</w:t>
      </w:r>
    </w:p>
    <w:p>
      <w:pPr>
        <w:numPr>
          <w:ilvl w:val="0"/>
          <w:numId w:val="1001"/>
        </w:numPr>
      </w:pPr>
      <w:r>
        <w:t xml:space="preserve">Открыл файл для просмотра и проверил корректность написанного кода.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3792353" cy="4697128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1"/>
        </w:numPr>
      </w:pPr>
      <w:r>
        <w:t xml:space="preserve">Скомпилировал файл и запустил полученный исполняемый файл, проверив его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994943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1"/>
        </w:numPr>
      </w:pPr>
      <w:r>
        <w:t xml:space="preserve">Скачал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, добавил его в рабочий каталог. Скопировал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переименовал в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2276071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1"/>
        </w:numPr>
      </w:pPr>
      <w:r>
        <w:t xml:space="preserve">Написал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скомпилировал её и проверил корректность работы.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4090736" cy="3686475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Программа lab05-2.asm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34000" cy="989086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1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заменил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Пересобрал исполняемый файл. Теперь строка выводится без перехода на новую строку.</w:t>
      </w:r>
    </w:p>
    <w:p>
      <w:pPr>
        <w:numPr>
          <w:ilvl w:val="0"/>
          <w:numId w:val="1000"/>
        </w:numPr>
        <w:pStyle w:val="CaptionedFigure"/>
      </w:pPr>
      <w:bookmarkStart w:id="52" w:name="fig:008"/>
      <w:r>
        <w:drawing>
          <wp:inline>
            <wp:extent cx="4581625" cy="3628724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8: Программа lab05-2.asm</w:t>
      </w:r>
    </w:p>
    <w:p>
      <w:pPr>
        <w:numPr>
          <w:ilvl w:val="0"/>
          <w:numId w:val="1000"/>
        </w:numPr>
        <w:pStyle w:val="CaptionedFigure"/>
      </w:pPr>
      <w:bookmarkStart w:id="56" w:name="fig:009"/>
      <w:r>
        <w:drawing>
          <wp:inline>
            <wp:extent cx="5334000" cy="1526934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1"/>
        </w:numPr>
      </w:pPr>
      <w:r>
        <w:t xml:space="preserve">Скопировал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изменил код таким образом, чтобы:</w:t>
      </w:r>
    </w:p>
    <w:p>
      <w:pPr>
        <w:numPr>
          <w:ilvl w:val="1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Прочитать введённую строку с клавиатуры.</w:t>
      </w:r>
    </w:p>
    <w:p>
      <w:pPr>
        <w:numPr>
          <w:ilvl w:val="1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numPr>
          <w:ilvl w:val="0"/>
          <w:numId w:val="1000"/>
        </w:numPr>
        <w:pStyle w:val="CaptionedFigure"/>
      </w:pPr>
      <w:bookmarkStart w:id="60" w:name="fig:010"/>
      <w:r>
        <w:drawing>
          <wp:inline>
            <wp:extent cx="4552749" cy="5996538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0"/>
        </w:numPr>
        <w:pStyle w:val="ImageCaption"/>
      </w:pPr>
      <w:r>
        <w:t xml:space="preserve">Рис. 10: Программа lab05-3.asm</w:t>
      </w:r>
    </w:p>
    <w:p>
      <w:pPr>
        <w:numPr>
          <w:ilvl w:val="0"/>
          <w:numId w:val="1000"/>
        </w:numPr>
        <w:pStyle w:val="CaptionedFigure"/>
      </w:pPr>
      <w:bookmarkStart w:id="64" w:name="fig:011"/>
      <w:r>
        <w:drawing>
          <wp:inline>
            <wp:extent cx="5334000" cy="1123310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0"/>
        </w:num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1"/>
        </w:numPr>
      </w:pPr>
      <w:r>
        <w:t xml:space="preserve">Скопировал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адаптировал её по аналогии с предыдущим заданием, используя возможности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68" w:name="fig:012"/>
      <w:r>
        <w:drawing>
          <wp:inline>
            <wp:extent cx="4668252" cy="4215865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830035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базовых ассемблерных программ. Также освоены основные ассемблерные инструкции, такие как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Матевосян Оганес НБИбд-03-24</dc:creator>
  <dc:language>ru-RU</dc:language>
  <cp:keywords/>
  <dcterms:created xsi:type="dcterms:W3CDTF">2024-11-24T14:57:02Z</dcterms:created>
  <dcterms:modified xsi:type="dcterms:W3CDTF">2024-11-24T14:57:02Z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