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624D06" w14:textId="0FA04AD9" w:rsidR="0097603C" w:rsidRPr="00BC0481" w:rsidRDefault="0097603C" w:rsidP="00D259F1">
      <w:pPr>
        <w:rPr>
          <w:b/>
          <w:bCs/>
          <w:lang w:val="en-US"/>
        </w:rPr>
      </w:pPr>
      <w:r w:rsidRPr="00BC0481">
        <w:rPr>
          <w:b/>
          <w:bCs/>
          <w:lang w:val="en-US"/>
        </w:rPr>
        <w:t>Calculation:</w:t>
      </w:r>
    </w:p>
    <w:p w14:paraId="76ACCBD9" w14:textId="77777777" w:rsidR="0097603C" w:rsidRDefault="0097603C" w:rsidP="00D259F1">
      <w:pPr>
        <w:rPr>
          <w:lang w:val="en-US"/>
        </w:rPr>
      </w:pPr>
    </w:p>
    <w:p w14:paraId="4DA6A105" w14:textId="3F31DB09" w:rsidR="00D259F1" w:rsidRDefault="00D259F1" w:rsidP="00D259F1">
      <w:pPr>
        <w:rPr>
          <w:lang w:val="en-US"/>
        </w:rPr>
      </w:pPr>
      <w:r w:rsidRPr="00D259F1">
        <w:rPr>
          <w:lang w:val="en-US"/>
        </w:rPr>
        <w:t>After determining the proxy variables of resistance and support and the definition of relative strength, we establish the RSRS index according to this. One is to directly use the slope itself as the index value.</w:t>
      </w:r>
    </w:p>
    <w:p w14:paraId="24392304" w14:textId="77777777" w:rsidR="00462746" w:rsidRPr="00D259F1" w:rsidRDefault="00462746" w:rsidP="00D259F1">
      <w:pPr>
        <w:rPr>
          <w:lang w:val="en-US"/>
        </w:rPr>
      </w:pPr>
    </w:p>
    <w:p w14:paraId="0C7C09FF" w14:textId="77777777" w:rsidR="00D259F1" w:rsidRPr="00D259F1" w:rsidRDefault="00D259F1" w:rsidP="00D259F1">
      <w:pPr>
        <w:rPr>
          <w:lang w:val="en-US"/>
        </w:rPr>
      </w:pPr>
      <w:r w:rsidRPr="00D259F1">
        <w:rPr>
          <w:lang w:val="en-US"/>
        </w:rPr>
        <w:t>1. Take the highest price sequence and the lowest price sequence before N days.</w:t>
      </w:r>
    </w:p>
    <w:p w14:paraId="662AB0B9" w14:textId="77777777" w:rsidR="00462746" w:rsidRDefault="00D259F1" w:rsidP="00D259F1">
      <w:pPr>
        <w:rPr>
          <w:lang w:val="en-US"/>
        </w:rPr>
      </w:pPr>
      <w:r w:rsidRPr="00D259F1">
        <w:rPr>
          <w:rFonts w:hint="eastAsia"/>
          <w:lang w:val="en-US"/>
        </w:rPr>
        <w:t xml:space="preserve">two </w:t>
      </w:r>
    </w:p>
    <w:p w14:paraId="5912948D" w14:textId="77777777" w:rsidR="00462746" w:rsidRDefault="00462746" w:rsidP="00D259F1">
      <w:pPr>
        <w:rPr>
          <w:lang w:val="en-US"/>
        </w:rPr>
      </w:pPr>
      <w:r>
        <w:rPr>
          <w:lang w:val="en-US"/>
        </w:rPr>
        <w:t xml:space="preserve">2. </w:t>
      </w:r>
      <w:r w:rsidR="00D259F1" w:rsidRPr="00D259F1">
        <w:rPr>
          <w:rFonts w:hint="eastAsia"/>
          <w:lang w:val="en-US"/>
        </w:rPr>
        <w:t>OLS linear regression was carried out for the model of two columns of data according to formula</w:t>
      </w:r>
      <w:r>
        <w:rPr>
          <w:lang w:val="en-US"/>
        </w:rPr>
        <w:t>:</w:t>
      </w:r>
    </w:p>
    <w:p w14:paraId="514813C6" w14:textId="675D08A3" w:rsidR="00462746" w:rsidRDefault="0024637A" w:rsidP="00D259F1">
      <w:pPr>
        <w:rPr>
          <w:lang w:val="en-US"/>
        </w:rPr>
      </w:pPr>
      <m:oMath>
        <m:sSub>
          <m:sSubPr>
            <m:ctrlPr>
              <w:rPr>
                <w:rFonts w:ascii="Cambria Math" w:eastAsiaTheme="minorEastAsia" w:hAnsi="Cambria Math" w:cstheme="minorBidi"/>
                <w:i/>
                <w:lang w:val="en-US"/>
              </w:rPr>
            </m:ctrlPr>
          </m:sSubPr>
          <m:e>
            <m:r>
              <w:rPr>
                <w:rFonts w:ascii="Cambria Math" w:hAnsi="Cambria Math"/>
                <w:lang w:val="en-US"/>
              </w:rPr>
              <m:t>high</m:t>
            </m:r>
          </m:e>
          <m:sub>
            <m:r>
              <w:rPr>
                <w:rFonts w:ascii="Cambria Math" w:hAnsi="Cambria Math"/>
                <w:lang w:val="en-US"/>
              </w:rPr>
              <m:t>i</m:t>
            </m:r>
          </m:sub>
        </m:sSub>
        <m:r>
          <w:rPr>
            <w:rFonts w:ascii="Cambria Math" w:hAnsi="Cambria Math"/>
            <w:lang w:val="en-US"/>
          </w:rPr>
          <m:t>=α+β*</m:t>
        </m:r>
        <m:sSub>
          <m:sSubPr>
            <m:ctrlPr>
              <w:rPr>
                <w:rFonts w:ascii="Cambria Math" w:eastAsiaTheme="minorEastAsia" w:hAnsi="Cambria Math" w:cstheme="minorBidi"/>
                <w:i/>
                <w:lang w:val="en-US"/>
              </w:rPr>
            </m:ctrlPr>
          </m:sSubPr>
          <m:e>
            <m:r>
              <w:rPr>
                <w:rFonts w:ascii="Cambria Math" w:hAnsi="Cambria Math"/>
                <w:lang w:val="en-US"/>
              </w:rPr>
              <m:t>low</m:t>
            </m:r>
          </m:e>
          <m:sub>
            <m:r>
              <w:rPr>
                <w:rFonts w:ascii="Cambria Math" w:hAnsi="Cambria Math"/>
                <w:lang w:val="en-US"/>
              </w:rPr>
              <m:t>i</m:t>
            </m:r>
          </m:sub>
        </m:sSub>
        <m:r>
          <w:rPr>
            <w:rFonts w:ascii="Cambria Math" w:hAnsi="Cambria Math"/>
            <w:lang w:val="en-US"/>
          </w:rPr>
          <m:t>+ϵ</m:t>
        </m:r>
      </m:oMath>
      <w:r w:rsidR="00983C93">
        <w:rPr>
          <w:lang w:val="en-US"/>
        </w:rPr>
        <w:t xml:space="preserve">, where </w:t>
      </w:r>
      <m:oMath>
        <m:r>
          <w:rPr>
            <w:rFonts w:ascii="Cambria Math" w:hAnsi="Cambria Math"/>
            <w:lang w:val="en-US"/>
          </w:rPr>
          <m:t>ϵ~N(0,σ)</m:t>
        </m:r>
      </m:oMath>
      <w:r w:rsidR="00367219">
        <w:rPr>
          <w:lang w:val="en-US"/>
        </w:rPr>
        <w:t>.</w:t>
      </w:r>
    </w:p>
    <w:p w14:paraId="77215052" w14:textId="77777777" w:rsidR="00367219" w:rsidRDefault="00367219" w:rsidP="00D259F1">
      <w:pPr>
        <w:rPr>
          <w:lang w:val="en-US"/>
        </w:rPr>
      </w:pPr>
    </w:p>
    <w:p w14:paraId="0D983290" w14:textId="752CC32A" w:rsidR="00D259F1" w:rsidRPr="00D259F1" w:rsidRDefault="00D259F1" w:rsidP="00D259F1">
      <w:pPr>
        <w:rPr>
          <w:lang w:val="en-US"/>
        </w:rPr>
      </w:pPr>
      <w:r w:rsidRPr="00D259F1">
        <w:rPr>
          <w:rFonts w:hint="eastAsia"/>
          <w:lang w:val="en-US"/>
        </w:rPr>
        <w:t>3. The fitted beta value is used as the RSRS slope index value for the day.</w:t>
      </w:r>
    </w:p>
    <w:p w14:paraId="732E3ECE" w14:textId="77777777" w:rsidR="00405EC0" w:rsidRDefault="00405EC0" w:rsidP="00D259F1">
      <w:pPr>
        <w:rPr>
          <w:lang w:val="en-US"/>
        </w:rPr>
      </w:pPr>
    </w:p>
    <w:p w14:paraId="22D87743" w14:textId="2F910688" w:rsidR="00D259F1" w:rsidRPr="00D259F1" w:rsidRDefault="00D259F1" w:rsidP="00D259F1">
      <w:pPr>
        <w:rPr>
          <w:lang w:val="en-US"/>
        </w:rPr>
      </w:pPr>
      <w:r w:rsidRPr="00D259F1">
        <w:rPr>
          <w:lang w:val="en-US"/>
        </w:rPr>
        <w:t>The other</w:t>
      </w:r>
      <w:r w:rsidR="00DD5C8C">
        <w:rPr>
          <w:lang w:val="en-US"/>
        </w:rPr>
        <w:t xml:space="preserve"> approach</w:t>
      </w:r>
      <w:r w:rsidRPr="00D259F1">
        <w:rPr>
          <w:lang w:val="en-US"/>
        </w:rPr>
        <w:t xml:space="preserve"> is to standardize the slope and take its standard score as the index value. The method </w:t>
      </w:r>
      <w:r w:rsidR="009F1451">
        <w:rPr>
          <w:lang w:val="en-US"/>
        </w:rPr>
        <w:t xml:space="preserve">is similar to the first approach, but </w:t>
      </w:r>
      <w:r w:rsidR="001F4820">
        <w:rPr>
          <w:lang w:val="en-US"/>
        </w:rPr>
        <w:t xml:space="preserve">data used for </w:t>
      </w:r>
      <w:r w:rsidR="00DE3F5D">
        <w:rPr>
          <w:lang w:val="en-US"/>
        </w:rPr>
        <w:t>OLS is standardized</w:t>
      </w:r>
      <w:r w:rsidRPr="00D259F1">
        <w:rPr>
          <w:lang w:val="en-US"/>
        </w:rPr>
        <w:t>:</w:t>
      </w:r>
    </w:p>
    <w:p w14:paraId="6563FA9D" w14:textId="77777777" w:rsidR="00D259F1" w:rsidRPr="00D259F1" w:rsidRDefault="00D259F1" w:rsidP="00D259F1">
      <w:pPr>
        <w:rPr>
          <w:lang w:val="en-US"/>
        </w:rPr>
      </w:pPr>
      <w:r w:rsidRPr="00D259F1">
        <w:rPr>
          <w:lang w:val="en-US"/>
        </w:rPr>
        <w:t>1. Take the slope time series of the previous M days.</w:t>
      </w:r>
    </w:p>
    <w:p w14:paraId="4792387E" w14:textId="39717E30" w:rsidR="00D259F1" w:rsidRPr="00D259F1" w:rsidRDefault="00795F67" w:rsidP="00D259F1">
      <w:pPr>
        <w:rPr>
          <w:lang w:val="en-US"/>
        </w:rPr>
      </w:pPr>
      <w:r>
        <w:rPr>
          <w:lang w:val="en-US"/>
        </w:rPr>
        <w:t>2</w:t>
      </w:r>
      <w:r w:rsidR="00D259F1" w:rsidRPr="00D259F1">
        <w:rPr>
          <w:rFonts w:hint="eastAsia"/>
          <w:lang w:val="en-US"/>
        </w:rPr>
        <w:t xml:space="preserve">. </w:t>
      </w:r>
      <w:r w:rsidR="006206A3">
        <w:rPr>
          <w:lang w:val="en-US"/>
        </w:rPr>
        <w:t>Calculate OLS linear regression with previous formula using standard scores</w:t>
      </w:r>
      <w:r w:rsidR="006206A3" w:rsidRPr="00D259F1">
        <w:rPr>
          <w:lang w:val="en-US"/>
        </w:rPr>
        <w:t>.</w:t>
      </w:r>
      <w:r w:rsidR="006206A3">
        <w:rPr>
          <w:lang w:val="en-US"/>
        </w:rPr>
        <w:t xml:space="preserve"> And the beta is used as the RSRS slope.</w:t>
      </w:r>
    </w:p>
    <w:p w14:paraId="4BC627AE" w14:textId="14BB6B9F" w:rsidR="004D3FF7" w:rsidRDefault="00D259F1" w:rsidP="00D259F1">
      <w:pPr>
        <w:rPr>
          <w:lang w:val="en-US"/>
        </w:rPr>
      </w:pPr>
      <w:r w:rsidRPr="00D259F1">
        <w:rPr>
          <w:lang w:val="en-US"/>
        </w:rPr>
        <w:t>3.</w:t>
      </w:r>
      <w:r w:rsidR="00335B7D">
        <w:rPr>
          <w:lang w:val="en-US"/>
        </w:rPr>
        <w:t xml:space="preserve"> </w:t>
      </w:r>
      <w:r w:rsidR="006F6EFC" w:rsidRPr="006F6EFC">
        <w:rPr>
          <w:lang w:val="en-US"/>
        </w:rPr>
        <w:t>Take the time series of beta in the previous M days and calculate the z</w:t>
      </w:r>
      <w:r w:rsidR="009877C2">
        <w:rPr>
          <w:lang w:val="en-US"/>
        </w:rPr>
        <w:t>-</w:t>
      </w:r>
      <w:r w:rsidR="006F6EFC" w:rsidRPr="006F6EFC">
        <w:rPr>
          <w:lang w:val="en-US"/>
        </w:rPr>
        <w:t>score standard score</w:t>
      </w:r>
      <w:r w:rsidR="006F6EFC">
        <w:rPr>
          <w:lang w:val="en-US"/>
        </w:rPr>
        <w:t>.</w:t>
      </w:r>
    </w:p>
    <w:p w14:paraId="754B6AD7" w14:textId="694EAFBE" w:rsidR="003B3A73" w:rsidRDefault="003B3A73" w:rsidP="00D259F1">
      <w:pPr>
        <w:rPr>
          <w:lang w:val="en-US"/>
        </w:rPr>
      </w:pPr>
    </w:p>
    <w:p w14:paraId="0AB8ECC2" w14:textId="7EF5038F" w:rsidR="003B3A73" w:rsidRDefault="00923936" w:rsidP="00D259F1">
      <w:pPr>
        <w:rPr>
          <w:lang w:val="en-US"/>
        </w:rPr>
      </w:pPr>
      <w:r>
        <w:rPr>
          <w:lang w:val="en-US"/>
        </w:rPr>
        <w:t xml:space="preserve">Here we calculate </w:t>
      </w:r>
      <w:r w:rsidR="00A05D38">
        <w:rPr>
          <w:lang w:val="en-US"/>
        </w:rPr>
        <w:t xml:space="preserve">RSRS slope with </w:t>
      </w:r>
      <w:r w:rsidR="00241E01">
        <w:rPr>
          <w:lang w:val="en-US"/>
        </w:rPr>
        <w:t>both two</w:t>
      </w:r>
      <w:r w:rsidR="00A05D38">
        <w:rPr>
          <w:lang w:val="en-US"/>
        </w:rPr>
        <w:t xml:space="preserve"> </w:t>
      </w:r>
      <w:r w:rsidR="00EA2BF0">
        <w:rPr>
          <w:lang w:val="en-US"/>
        </w:rPr>
        <w:t>approach</w:t>
      </w:r>
      <w:r w:rsidR="00241E01">
        <w:rPr>
          <w:lang w:val="en-US"/>
        </w:rPr>
        <w:t>es</w:t>
      </w:r>
      <w:r w:rsidR="00EA2BF0">
        <w:rPr>
          <w:lang w:val="en-US"/>
        </w:rPr>
        <w:t>.</w:t>
      </w:r>
      <w:r w:rsidR="00FA527A">
        <w:rPr>
          <w:lang w:val="en-US"/>
        </w:rPr>
        <w:t xml:space="preserve"> In our model</w:t>
      </w:r>
      <w:r w:rsidR="00372186">
        <w:rPr>
          <w:lang w:val="en-US"/>
        </w:rPr>
        <w:t xml:space="preserve"> </w:t>
      </w:r>
      <m:oMath>
        <m:r>
          <w:rPr>
            <w:rFonts w:ascii="Cambria Math" w:hAnsi="Cambria Math"/>
            <w:lang w:val="en-US"/>
          </w:rPr>
          <m:t>N=18</m:t>
        </m:r>
      </m:oMath>
      <w:r w:rsidR="00372186">
        <w:rPr>
          <w:lang w:val="en-US"/>
        </w:rPr>
        <w:t xml:space="preserve"> and </w:t>
      </w:r>
      <m:oMath>
        <m:r>
          <w:rPr>
            <w:rFonts w:ascii="Cambria Math" w:hAnsi="Cambria Math"/>
            <w:lang w:val="en-US"/>
          </w:rPr>
          <m:t>M=600</m:t>
        </m:r>
      </m:oMath>
      <w:r w:rsidR="00372186">
        <w:rPr>
          <w:lang w:val="en-US"/>
        </w:rPr>
        <w:t xml:space="preserve"> .</w:t>
      </w:r>
    </w:p>
    <w:p w14:paraId="43B1A9CB" w14:textId="7AE444D3" w:rsidR="00286407" w:rsidRDefault="00286407" w:rsidP="00D259F1">
      <w:pPr>
        <w:rPr>
          <w:lang w:val="en-US"/>
        </w:rPr>
      </w:pPr>
    </w:p>
    <w:p w14:paraId="2231449F" w14:textId="77777777" w:rsidR="004E3D80" w:rsidRDefault="004E3D80" w:rsidP="00D259F1">
      <w:pPr>
        <w:rPr>
          <w:lang w:val="en-US"/>
        </w:rPr>
      </w:pPr>
    </w:p>
    <w:p w14:paraId="18B26F81" w14:textId="75D5B950" w:rsidR="00D40A96" w:rsidRDefault="00FE1EC4" w:rsidP="00D40A96">
      <w:pPr>
        <w:rPr>
          <w:b/>
          <w:bCs/>
          <w:lang w:val="en-US"/>
        </w:rPr>
      </w:pPr>
      <w:r>
        <w:rPr>
          <w:b/>
          <w:bCs/>
          <w:lang w:val="en-US"/>
        </w:rPr>
        <w:t>RSRS</w:t>
      </w:r>
      <w:r w:rsidR="00FD0DA7">
        <w:rPr>
          <w:b/>
          <w:bCs/>
          <w:lang w:val="en-US"/>
        </w:rPr>
        <w:t xml:space="preserve"> Strategy</w:t>
      </w:r>
      <w:r w:rsidR="007214BC">
        <w:rPr>
          <w:b/>
          <w:bCs/>
          <w:lang w:val="en-US"/>
        </w:rPr>
        <w:t xml:space="preserve"> Construction</w:t>
      </w:r>
      <w:r w:rsidR="00D40A96" w:rsidRPr="00BC0481">
        <w:rPr>
          <w:b/>
          <w:bCs/>
          <w:lang w:val="en-US"/>
        </w:rPr>
        <w:t>:</w:t>
      </w:r>
      <w:r w:rsidR="00CA3A2E">
        <w:rPr>
          <w:b/>
          <w:bCs/>
          <w:lang w:val="en-US"/>
        </w:rPr>
        <w:t xml:space="preserve"> using 000001.SZ </w:t>
      </w:r>
    </w:p>
    <w:p w14:paraId="43C92FA5" w14:textId="4E856706" w:rsidR="00BD2576" w:rsidRDefault="00BD2576" w:rsidP="00D40A96">
      <w:pPr>
        <w:rPr>
          <w:b/>
          <w:bCs/>
          <w:lang w:val="en-US"/>
        </w:rPr>
      </w:pPr>
    </w:p>
    <w:p w14:paraId="6ECE3B5A" w14:textId="0093AFA7" w:rsidR="009A1222" w:rsidRDefault="00D107BF" w:rsidP="00D40A96">
      <w:pPr>
        <w:rPr>
          <w:lang w:val="en-US"/>
        </w:rPr>
      </w:pPr>
      <w:r>
        <w:rPr>
          <w:lang w:val="en-US"/>
        </w:rPr>
        <w:t xml:space="preserve">We construct the </w:t>
      </w:r>
      <w:r w:rsidR="00923814">
        <w:rPr>
          <w:lang w:val="en-US"/>
        </w:rPr>
        <w:t xml:space="preserve">time selection strategy </w:t>
      </w:r>
      <w:r w:rsidR="00ED02A6">
        <w:rPr>
          <w:lang w:val="en-US"/>
        </w:rPr>
        <w:t xml:space="preserve">after preliminarily defining the RSRS </w:t>
      </w:r>
      <w:r w:rsidR="00A44402">
        <w:rPr>
          <w:lang w:val="en-US"/>
        </w:rPr>
        <w:t xml:space="preserve">parameter. </w:t>
      </w:r>
      <w:r w:rsidR="005625DB">
        <w:rPr>
          <w:lang w:val="en-US"/>
        </w:rPr>
        <w:t xml:space="preserve">In this part we will </w:t>
      </w:r>
      <w:r w:rsidR="000C684F">
        <w:rPr>
          <w:lang w:val="en-US"/>
        </w:rPr>
        <w:t>exam the t</w:t>
      </w:r>
      <w:r w:rsidR="004D3FA7">
        <w:rPr>
          <w:lang w:val="en-US"/>
        </w:rPr>
        <w:t>iming effect of RSRS.</w:t>
      </w:r>
      <w:r w:rsidR="000D2F9F">
        <w:rPr>
          <w:lang w:val="en-US"/>
        </w:rPr>
        <w:t xml:space="preserve"> </w:t>
      </w:r>
    </w:p>
    <w:p w14:paraId="3CC639D0" w14:textId="1BA4B77C" w:rsidR="000D2F9F" w:rsidRDefault="000D2F9F" w:rsidP="00D40A96">
      <w:pPr>
        <w:rPr>
          <w:lang w:val="en-US"/>
        </w:rPr>
      </w:pPr>
    </w:p>
    <w:p w14:paraId="5E34EDDA" w14:textId="3AC65C52" w:rsidR="00BD2576" w:rsidRDefault="00643B5B" w:rsidP="00D40A96">
      <w:pPr>
        <w:rPr>
          <w:lang w:val="en-US"/>
        </w:rPr>
      </w:pPr>
      <w:r>
        <w:rPr>
          <w:lang w:val="en-US"/>
        </w:rPr>
        <w:t>The trading framework is</w:t>
      </w:r>
      <w:r w:rsidR="0050015D">
        <w:rPr>
          <w:lang w:val="en-US"/>
        </w:rPr>
        <w:t xml:space="preserve"> using the threshold. </w:t>
      </w:r>
      <w:r w:rsidR="002049C6">
        <w:rPr>
          <w:lang w:val="en-US"/>
        </w:rPr>
        <w:t>We select distinct threshold for longing and shorting. Whe</w:t>
      </w:r>
      <w:r w:rsidR="00A963E2">
        <w:rPr>
          <w:lang w:val="en-US"/>
        </w:rPr>
        <w:t>n</w:t>
      </w:r>
      <w:r w:rsidR="002049C6">
        <w:rPr>
          <w:lang w:val="en-US"/>
        </w:rPr>
        <w:t xml:space="preserve"> the index exceeds </w:t>
      </w:r>
      <w:r w:rsidR="000F6D48">
        <w:rPr>
          <w:lang w:val="en-US"/>
        </w:rPr>
        <w:t xml:space="preserve">certain threshold </w:t>
      </w:r>
      <m:oMath>
        <m:sSub>
          <m:sSubPr>
            <m:ctrlPr>
              <w:rPr>
                <w:rFonts w:ascii="Cambria Math" w:eastAsiaTheme="minorEastAsia" w:hAnsi="Cambria Math" w:cstheme="minorBidi"/>
                <w:i/>
                <w:lang w:val="en-US"/>
              </w:rPr>
            </m:ctrlPr>
          </m:sSubPr>
          <m:e>
            <m:r>
              <w:rPr>
                <w:rFonts w:ascii="Cambria Math" w:hAnsi="Cambria Math"/>
                <w:lang w:val="en-US"/>
              </w:rPr>
              <m:t>S</m:t>
            </m:r>
          </m:e>
          <m:sub>
            <m:r>
              <w:rPr>
                <w:rFonts w:ascii="Cambria Math" w:hAnsi="Cambria Math"/>
                <w:lang w:val="en-US"/>
              </w:rPr>
              <m:t>long</m:t>
            </m:r>
          </m:sub>
        </m:sSub>
      </m:oMath>
      <w:r w:rsidR="00EB75C6">
        <w:rPr>
          <w:lang w:val="en-US"/>
        </w:rPr>
        <w:t xml:space="preserve"> </w:t>
      </w:r>
      <w:r w:rsidR="002A0647">
        <w:rPr>
          <w:lang w:val="en-US"/>
        </w:rPr>
        <w:t xml:space="preserve">, </w:t>
      </w:r>
      <w:r w:rsidR="00EB75C6">
        <w:rPr>
          <w:lang w:val="en-US"/>
        </w:rPr>
        <w:t xml:space="preserve">the </w:t>
      </w:r>
      <w:r w:rsidR="00FC7301">
        <w:rPr>
          <w:lang w:val="en-US"/>
        </w:rPr>
        <w:t xml:space="preserve">strategy will </w:t>
      </w:r>
      <w:r w:rsidR="00274D88">
        <w:rPr>
          <w:lang w:val="en-US"/>
        </w:rPr>
        <w:t xml:space="preserve">long </w:t>
      </w:r>
      <w:r w:rsidR="00974F32">
        <w:rPr>
          <w:lang w:val="en-US"/>
        </w:rPr>
        <w:t>the full position of the observed stock;</w:t>
      </w:r>
      <w:r w:rsidR="002F1E7C">
        <w:rPr>
          <w:lang w:val="en-US"/>
        </w:rPr>
        <w:t xml:space="preserve"> when </w:t>
      </w:r>
      <w:r w:rsidR="00D9462C">
        <w:rPr>
          <w:lang w:val="en-US"/>
        </w:rPr>
        <w:t xml:space="preserve">index </w:t>
      </w:r>
      <w:r w:rsidR="00CA4E7D">
        <w:rPr>
          <w:lang w:val="en-US"/>
        </w:rPr>
        <w:t xml:space="preserve">passes through another threshold </w:t>
      </w:r>
      <m:oMath>
        <m:sSub>
          <m:sSubPr>
            <m:ctrlPr>
              <w:rPr>
                <w:rFonts w:ascii="Cambria Math" w:eastAsiaTheme="minorEastAsia" w:hAnsi="Cambria Math" w:cstheme="minorBidi"/>
                <w:i/>
                <w:lang w:val="en-US"/>
              </w:rPr>
            </m:ctrlPr>
          </m:sSubPr>
          <m:e>
            <m:r>
              <w:rPr>
                <w:rFonts w:ascii="Cambria Math" w:hAnsi="Cambria Math"/>
                <w:lang w:val="en-US"/>
              </w:rPr>
              <m:t>S</m:t>
            </m:r>
          </m:e>
          <m:sub>
            <m:r>
              <w:rPr>
                <w:rFonts w:ascii="Cambria Math" w:hAnsi="Cambria Math"/>
                <w:lang w:val="en-US"/>
              </w:rPr>
              <m:t>short</m:t>
            </m:r>
          </m:sub>
        </m:sSub>
      </m:oMath>
      <w:r w:rsidR="00354510">
        <w:rPr>
          <w:lang w:val="en-US"/>
        </w:rPr>
        <w:t xml:space="preserve">, </w:t>
      </w:r>
      <w:r w:rsidR="00060A08">
        <w:rPr>
          <w:lang w:val="en-US"/>
        </w:rPr>
        <w:t xml:space="preserve">the strategy will </w:t>
      </w:r>
      <w:r w:rsidR="00E71ED1">
        <w:rPr>
          <w:lang w:val="en-US"/>
        </w:rPr>
        <w:t>close</w:t>
      </w:r>
      <w:r w:rsidR="00060A08">
        <w:rPr>
          <w:lang w:val="en-US"/>
        </w:rPr>
        <w:t xml:space="preserve"> its position.</w:t>
      </w:r>
    </w:p>
    <w:p w14:paraId="66D0934C" w14:textId="6AAFBED2" w:rsidR="0070452B" w:rsidRDefault="0070452B" w:rsidP="00D40A96">
      <w:pPr>
        <w:rPr>
          <w:lang w:val="en-US"/>
        </w:rPr>
      </w:pPr>
    </w:p>
    <w:p w14:paraId="1AD19208" w14:textId="581237FC" w:rsidR="0089182F" w:rsidRDefault="002A2EC6" w:rsidP="00D40A96">
      <w:pPr>
        <w:rPr>
          <w:lang w:val="en-US"/>
        </w:rPr>
      </w:pPr>
      <w:r>
        <w:rPr>
          <w:lang w:val="en-US"/>
        </w:rPr>
        <w:t xml:space="preserve">We use 000001.SZ </w:t>
      </w:r>
      <w:r w:rsidR="0063565B">
        <w:rPr>
          <w:lang w:val="en-US"/>
        </w:rPr>
        <w:t xml:space="preserve">as the example, and the time range is from </w:t>
      </w:r>
      <w:r w:rsidR="002D2257">
        <w:rPr>
          <w:lang w:val="en-US"/>
        </w:rPr>
        <w:t>2000 to 2020</w:t>
      </w:r>
      <w:r w:rsidR="009379C4">
        <w:rPr>
          <w:lang w:val="en-US"/>
        </w:rPr>
        <w:t xml:space="preserve"> (21 years). </w:t>
      </w:r>
      <w:r w:rsidR="006F1C72">
        <w:rPr>
          <w:lang w:val="en-US"/>
        </w:rPr>
        <w:t xml:space="preserve">The data is collected </w:t>
      </w:r>
      <w:r w:rsidR="008F4D89">
        <w:rPr>
          <w:lang w:val="en-US"/>
        </w:rPr>
        <w:t>via</w:t>
      </w:r>
      <w:r w:rsidR="006F1C72">
        <w:rPr>
          <w:lang w:val="en-US"/>
        </w:rPr>
        <w:t xml:space="preserve"> </w:t>
      </w:r>
      <w:r w:rsidR="00033A48">
        <w:rPr>
          <w:lang w:val="en-US"/>
        </w:rPr>
        <w:t>“tushare” python package</w:t>
      </w:r>
      <w:r w:rsidR="006F1C72">
        <w:rPr>
          <w:lang w:val="en-US"/>
        </w:rPr>
        <w:t xml:space="preserve">. </w:t>
      </w:r>
      <w:r w:rsidR="00471CA9">
        <w:rPr>
          <w:lang w:val="en-US"/>
        </w:rPr>
        <w:t xml:space="preserve">First we display the </w:t>
      </w:r>
      <w:r w:rsidR="007539D7">
        <w:rPr>
          <w:lang w:val="en-US"/>
        </w:rPr>
        <w:t xml:space="preserve">intuitive </w:t>
      </w:r>
      <w:r w:rsidR="00084DDE">
        <w:rPr>
          <w:lang w:val="en-US"/>
        </w:rPr>
        <w:t>image on the stock’s performance:</w:t>
      </w:r>
    </w:p>
    <w:p w14:paraId="105F5006" w14:textId="665A43F7" w:rsidR="00590BC9" w:rsidRPr="00590BC9" w:rsidRDefault="00590BC9" w:rsidP="00590BC9">
      <w:r w:rsidRPr="00590BC9">
        <w:rPr>
          <w:noProof/>
          <w:lang w:val="en-US"/>
        </w:rPr>
        <w:drawing>
          <wp:inline distT="0" distB="0" distL="0" distR="0" wp14:anchorId="18F52A2A" wp14:editId="2ECF6B75">
            <wp:extent cx="2432685" cy="1669415"/>
            <wp:effectExtent l="0" t="0" r="5715"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32685" cy="1669415"/>
                    </a:xfrm>
                    <a:prstGeom prst="rect">
                      <a:avLst/>
                    </a:prstGeom>
                    <a:noFill/>
                    <a:ln>
                      <a:noFill/>
                    </a:ln>
                  </pic:spPr>
                </pic:pic>
              </a:graphicData>
            </a:graphic>
          </wp:inline>
        </w:drawing>
      </w:r>
    </w:p>
    <w:p w14:paraId="1226B26A" w14:textId="0EB23934" w:rsidR="00E33963" w:rsidRDefault="00E33963" w:rsidP="00E33963"/>
    <w:p w14:paraId="37A9CE5B" w14:textId="77777777" w:rsidR="0089182F" w:rsidRDefault="0089182F" w:rsidP="00D40A96">
      <w:pPr>
        <w:rPr>
          <w:lang w:val="en-US"/>
        </w:rPr>
      </w:pPr>
    </w:p>
    <w:p w14:paraId="25881443" w14:textId="299E721D" w:rsidR="0089182F" w:rsidRDefault="0089182F" w:rsidP="00D40A96">
      <w:pPr>
        <w:rPr>
          <w:lang w:val="en-US"/>
        </w:rPr>
      </w:pPr>
    </w:p>
    <w:p w14:paraId="3E8C93E8" w14:textId="77777777" w:rsidR="00471CA9" w:rsidRDefault="00471CA9" w:rsidP="00D40A96">
      <w:pPr>
        <w:rPr>
          <w:lang w:val="en-US"/>
        </w:rPr>
      </w:pPr>
    </w:p>
    <w:p w14:paraId="733873EC" w14:textId="23783832" w:rsidR="0070452B" w:rsidRDefault="0027478B" w:rsidP="00D40A96">
      <w:pPr>
        <w:rPr>
          <w:lang w:val="en-US"/>
        </w:rPr>
      </w:pPr>
      <w:r>
        <w:rPr>
          <w:lang w:val="en-US"/>
        </w:rPr>
        <w:t xml:space="preserve">The </w:t>
      </w:r>
      <w:r w:rsidR="00315008">
        <w:rPr>
          <w:lang w:val="en-US"/>
        </w:rPr>
        <w:t xml:space="preserve">descriptive statistics </w:t>
      </w:r>
      <w:r w:rsidR="00062803">
        <w:rPr>
          <w:lang w:val="en-US"/>
        </w:rPr>
        <w:t>result</w:t>
      </w:r>
      <w:r w:rsidR="00A720D7">
        <w:rPr>
          <w:lang w:val="en-US"/>
        </w:rPr>
        <w:t>s of RSRS</w:t>
      </w:r>
      <w:r w:rsidR="00062803">
        <w:rPr>
          <w:lang w:val="en-US"/>
        </w:rPr>
        <w:t xml:space="preserve"> is shown:</w:t>
      </w:r>
    </w:p>
    <w:p w14:paraId="0C395871" w14:textId="0F0295E2" w:rsidR="00062803" w:rsidRDefault="00062803" w:rsidP="00D40A96">
      <w:pPr>
        <w:rPr>
          <w:lang w:val="en-US"/>
        </w:rPr>
      </w:pPr>
    </w:p>
    <w:tbl>
      <w:tblPr>
        <w:tblStyle w:val="TableGrid"/>
        <w:tblW w:w="0" w:type="auto"/>
        <w:tblLook w:val="04A0" w:firstRow="1" w:lastRow="0" w:firstColumn="1" w:lastColumn="0" w:noHBand="0" w:noVBand="1"/>
      </w:tblPr>
      <w:tblGrid>
        <w:gridCol w:w="4675"/>
        <w:gridCol w:w="4675"/>
      </w:tblGrid>
      <w:tr w:rsidR="00091E2B" w14:paraId="6EEDDD8F" w14:textId="77777777" w:rsidTr="00091E2B">
        <w:tc>
          <w:tcPr>
            <w:tcW w:w="4675" w:type="dxa"/>
          </w:tcPr>
          <w:p w14:paraId="0B2AEFC1" w14:textId="4C9F400D" w:rsidR="00091E2B" w:rsidRDefault="0089182F" w:rsidP="00D40A96">
            <w:pPr>
              <w:rPr>
                <w:lang w:val="en-US"/>
              </w:rPr>
            </w:pPr>
            <w:r>
              <w:rPr>
                <w:lang w:val="en-US"/>
              </w:rPr>
              <w:t>RSRS Statistics Index</w:t>
            </w:r>
          </w:p>
        </w:tc>
        <w:tc>
          <w:tcPr>
            <w:tcW w:w="4675" w:type="dxa"/>
          </w:tcPr>
          <w:p w14:paraId="093C71FE" w14:textId="386D3A79" w:rsidR="00091E2B" w:rsidRDefault="0089182F" w:rsidP="00D40A96">
            <w:pPr>
              <w:rPr>
                <w:lang w:val="en-US"/>
              </w:rPr>
            </w:pPr>
            <w:r>
              <w:rPr>
                <w:lang w:val="en-US"/>
              </w:rPr>
              <w:t>Value</w:t>
            </w:r>
          </w:p>
        </w:tc>
      </w:tr>
      <w:tr w:rsidR="00091E2B" w14:paraId="0E24C1E6" w14:textId="77777777" w:rsidTr="00091E2B">
        <w:tc>
          <w:tcPr>
            <w:tcW w:w="4675" w:type="dxa"/>
          </w:tcPr>
          <w:p w14:paraId="3659B14F" w14:textId="06B83A6E" w:rsidR="00091E2B" w:rsidRDefault="00091E2B" w:rsidP="00D40A96">
            <w:pPr>
              <w:rPr>
                <w:lang w:val="en-US"/>
              </w:rPr>
            </w:pPr>
            <w:r>
              <w:rPr>
                <w:lang w:val="en-US"/>
              </w:rPr>
              <w:t>Mean</w:t>
            </w:r>
          </w:p>
        </w:tc>
        <w:tc>
          <w:tcPr>
            <w:tcW w:w="4675" w:type="dxa"/>
          </w:tcPr>
          <w:p w14:paraId="29F3EF01" w14:textId="18C56188" w:rsidR="00091E2B" w:rsidRDefault="00091E2B" w:rsidP="00D40A96">
            <w:pPr>
              <w:rPr>
                <w:lang w:val="en-US"/>
              </w:rPr>
            </w:pPr>
            <w:r>
              <w:rPr>
                <w:lang w:val="en-US"/>
              </w:rPr>
              <w:t>0.9264</w:t>
            </w:r>
          </w:p>
        </w:tc>
      </w:tr>
      <w:tr w:rsidR="00091E2B" w14:paraId="6BE59CC6" w14:textId="77777777" w:rsidTr="00091E2B">
        <w:tc>
          <w:tcPr>
            <w:tcW w:w="4675" w:type="dxa"/>
          </w:tcPr>
          <w:p w14:paraId="332F4170" w14:textId="7B2CCE5B" w:rsidR="00091E2B" w:rsidRDefault="00EA36A9" w:rsidP="00D40A96">
            <w:pPr>
              <w:rPr>
                <w:lang w:val="en-US"/>
              </w:rPr>
            </w:pPr>
            <w:r>
              <w:rPr>
                <w:lang w:val="en-US"/>
              </w:rPr>
              <w:t>Standard Deviation</w:t>
            </w:r>
          </w:p>
        </w:tc>
        <w:tc>
          <w:tcPr>
            <w:tcW w:w="4675" w:type="dxa"/>
          </w:tcPr>
          <w:p w14:paraId="36EE37F6" w14:textId="29AD684B" w:rsidR="00091E2B" w:rsidRDefault="0045749E" w:rsidP="00D40A96">
            <w:pPr>
              <w:rPr>
                <w:lang w:val="en-US"/>
              </w:rPr>
            </w:pPr>
            <w:r>
              <w:rPr>
                <w:lang w:val="en-US"/>
              </w:rPr>
              <w:t>0.1610</w:t>
            </w:r>
          </w:p>
        </w:tc>
      </w:tr>
      <w:tr w:rsidR="00091E2B" w14:paraId="135084A6" w14:textId="77777777" w:rsidTr="00091E2B">
        <w:tc>
          <w:tcPr>
            <w:tcW w:w="4675" w:type="dxa"/>
          </w:tcPr>
          <w:p w14:paraId="62BC51E9" w14:textId="2B3E6DE3" w:rsidR="00091E2B" w:rsidRDefault="0045749E" w:rsidP="00D40A96">
            <w:pPr>
              <w:rPr>
                <w:lang w:val="en-US"/>
              </w:rPr>
            </w:pPr>
            <w:r>
              <w:rPr>
                <w:lang w:val="en-US"/>
              </w:rPr>
              <w:t>Skewness</w:t>
            </w:r>
          </w:p>
        </w:tc>
        <w:tc>
          <w:tcPr>
            <w:tcW w:w="4675" w:type="dxa"/>
          </w:tcPr>
          <w:p w14:paraId="6D9F4CC1" w14:textId="0CCEF6AC" w:rsidR="00091E2B" w:rsidRDefault="0045749E" w:rsidP="00D40A96">
            <w:pPr>
              <w:rPr>
                <w:lang w:val="en-US"/>
              </w:rPr>
            </w:pPr>
            <w:r>
              <w:rPr>
                <w:lang w:val="en-US"/>
              </w:rPr>
              <w:t>0.3325</w:t>
            </w:r>
          </w:p>
        </w:tc>
      </w:tr>
      <w:tr w:rsidR="00091E2B" w14:paraId="02F3A708" w14:textId="77777777" w:rsidTr="00091E2B">
        <w:tc>
          <w:tcPr>
            <w:tcW w:w="4675" w:type="dxa"/>
          </w:tcPr>
          <w:p w14:paraId="12FD8396" w14:textId="51069249" w:rsidR="00091E2B" w:rsidRDefault="0045749E" w:rsidP="00D40A96">
            <w:pPr>
              <w:rPr>
                <w:lang w:val="en-US"/>
              </w:rPr>
            </w:pPr>
            <w:r>
              <w:rPr>
                <w:lang w:val="en-US"/>
              </w:rPr>
              <w:t>Kurtosis</w:t>
            </w:r>
          </w:p>
        </w:tc>
        <w:tc>
          <w:tcPr>
            <w:tcW w:w="4675" w:type="dxa"/>
          </w:tcPr>
          <w:p w14:paraId="22ADDC93" w14:textId="54B4E345" w:rsidR="00091E2B" w:rsidRDefault="004364A9" w:rsidP="00D40A96">
            <w:pPr>
              <w:rPr>
                <w:lang w:val="en-US"/>
              </w:rPr>
            </w:pPr>
            <w:r>
              <w:rPr>
                <w:lang w:val="en-US"/>
              </w:rPr>
              <w:t>3.8174</w:t>
            </w:r>
          </w:p>
        </w:tc>
      </w:tr>
    </w:tbl>
    <w:p w14:paraId="713CC6BB" w14:textId="12F5ABE3" w:rsidR="00062803" w:rsidRDefault="00062803" w:rsidP="00D40A96">
      <w:pPr>
        <w:rPr>
          <w:lang w:val="en-US"/>
        </w:rPr>
      </w:pPr>
    </w:p>
    <w:p w14:paraId="75CFEDA5" w14:textId="1F77B59B" w:rsidR="00DF26CA" w:rsidRDefault="00DF26CA" w:rsidP="00D40A96">
      <w:pPr>
        <w:rPr>
          <w:lang w:val="en-US"/>
        </w:rPr>
      </w:pPr>
      <w:r>
        <w:rPr>
          <w:lang w:val="en-US"/>
        </w:rPr>
        <w:t>And the histplot is displayed below:</w:t>
      </w:r>
    </w:p>
    <w:p w14:paraId="4E7EBA9F" w14:textId="6ECA5241" w:rsidR="00DF26CA" w:rsidRDefault="00DF26CA" w:rsidP="00D40A96">
      <w:pPr>
        <w:rPr>
          <w:lang w:val="en-US"/>
        </w:rPr>
      </w:pPr>
    </w:p>
    <w:p w14:paraId="7459A102" w14:textId="1D69336B" w:rsidR="0065710F" w:rsidRDefault="0065710F" w:rsidP="0065710F">
      <w:r>
        <w:rPr>
          <w:noProof/>
        </w:rPr>
        <w:drawing>
          <wp:inline distT="0" distB="0" distL="0" distR="0" wp14:anchorId="2ED31F04" wp14:editId="2EE835EB">
            <wp:extent cx="2491740" cy="1577340"/>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91740" cy="1577340"/>
                    </a:xfrm>
                    <a:prstGeom prst="rect">
                      <a:avLst/>
                    </a:prstGeom>
                    <a:noFill/>
                    <a:ln>
                      <a:noFill/>
                    </a:ln>
                  </pic:spPr>
                </pic:pic>
              </a:graphicData>
            </a:graphic>
          </wp:inline>
        </w:drawing>
      </w:r>
    </w:p>
    <w:p w14:paraId="142AE6CA" w14:textId="0612D182" w:rsidR="00E04199" w:rsidRDefault="00E04199" w:rsidP="00E04199"/>
    <w:p w14:paraId="62C2886A" w14:textId="77777777" w:rsidR="00DF26CA" w:rsidRPr="000B10C4" w:rsidRDefault="00DF26CA" w:rsidP="00D40A96">
      <w:pPr>
        <w:rPr>
          <w:lang w:val="en-US"/>
        </w:rPr>
      </w:pPr>
    </w:p>
    <w:p w14:paraId="4FDD1153" w14:textId="2A63C0A5" w:rsidR="00286407" w:rsidRDefault="00FF6E7F" w:rsidP="00D259F1">
      <w:pPr>
        <w:rPr>
          <w:lang w:val="en-US"/>
        </w:rPr>
      </w:pPr>
      <w:r>
        <w:rPr>
          <w:lang w:val="en-US"/>
        </w:rPr>
        <w:t>Th</w:t>
      </w:r>
      <w:r w:rsidR="0065710F">
        <w:rPr>
          <w:lang w:val="en-US"/>
        </w:rPr>
        <w:t xml:space="preserve">e time-series plot </w:t>
      </w:r>
      <w:r w:rsidR="00D4478A">
        <w:rPr>
          <w:lang w:val="en-US"/>
        </w:rPr>
        <w:t xml:space="preserve">on RSRS </w:t>
      </w:r>
      <w:r w:rsidR="0065710F">
        <w:rPr>
          <w:lang w:val="en-US"/>
        </w:rPr>
        <w:t>is:</w:t>
      </w:r>
    </w:p>
    <w:p w14:paraId="58005D21" w14:textId="2F350417" w:rsidR="0081121D" w:rsidRPr="0081121D" w:rsidRDefault="0081121D" w:rsidP="0081121D">
      <w:r w:rsidRPr="0081121D">
        <w:rPr>
          <w:noProof/>
        </w:rPr>
        <w:drawing>
          <wp:inline distT="0" distB="0" distL="0" distR="0" wp14:anchorId="3848B2CE" wp14:editId="19FA37A2">
            <wp:extent cx="2348865" cy="1669415"/>
            <wp:effectExtent l="0" t="0" r="635"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48865" cy="1669415"/>
                    </a:xfrm>
                    <a:prstGeom prst="rect">
                      <a:avLst/>
                    </a:prstGeom>
                    <a:noFill/>
                    <a:ln>
                      <a:noFill/>
                    </a:ln>
                  </pic:spPr>
                </pic:pic>
              </a:graphicData>
            </a:graphic>
          </wp:inline>
        </w:drawing>
      </w:r>
    </w:p>
    <w:p w14:paraId="3E59F7D9" w14:textId="1A94A284" w:rsidR="00BE1880" w:rsidRDefault="00BE1880" w:rsidP="00BE1880"/>
    <w:p w14:paraId="337CC361" w14:textId="16FF69C2" w:rsidR="0065710F" w:rsidRDefault="0065710F" w:rsidP="00D259F1">
      <w:pPr>
        <w:rPr>
          <w:lang w:val="en-US"/>
        </w:rPr>
      </w:pPr>
    </w:p>
    <w:p w14:paraId="11EB56E1" w14:textId="745D0386" w:rsidR="000E2511" w:rsidRPr="000E2511" w:rsidRDefault="001963A2" w:rsidP="000E2511">
      <w:pPr>
        <w:rPr>
          <w:lang w:val="en-US"/>
        </w:rPr>
      </w:pPr>
      <w:r>
        <w:rPr>
          <w:rFonts w:hint="eastAsia"/>
          <w:lang w:val="en-US"/>
        </w:rPr>
        <w:t>Con</w:t>
      </w:r>
      <w:r>
        <w:rPr>
          <w:lang w:val="en-US"/>
        </w:rPr>
        <w:t xml:space="preserve">sidering aforementioned </w:t>
      </w:r>
      <w:r w:rsidR="000E2511" w:rsidRPr="000E2511">
        <w:rPr>
          <w:lang w:val="en-US"/>
        </w:rPr>
        <w:t xml:space="preserve">statistical results, a </w:t>
      </w:r>
      <w:r w:rsidR="0002281C">
        <w:rPr>
          <w:lang w:val="en-US"/>
        </w:rPr>
        <w:t xml:space="preserve">plausible </w:t>
      </w:r>
      <w:r w:rsidR="000E2511" w:rsidRPr="000E2511">
        <w:rPr>
          <w:lang w:val="en-US"/>
        </w:rPr>
        <w:t xml:space="preserve">threshold is </w:t>
      </w:r>
      <m:oMath>
        <m:sSub>
          <m:sSubPr>
            <m:ctrlPr>
              <w:rPr>
                <w:rFonts w:ascii="Cambria Math" w:eastAsiaTheme="minorEastAsia" w:hAnsi="Cambria Math" w:cstheme="minorBidi"/>
                <w:i/>
                <w:lang w:val="en-US"/>
              </w:rPr>
            </m:ctrlPr>
          </m:sSubPr>
          <m:e>
            <m:r>
              <w:rPr>
                <w:rFonts w:ascii="Cambria Math" w:hAnsi="Cambria Math"/>
                <w:lang w:val="en-US"/>
              </w:rPr>
              <m:t>S</m:t>
            </m:r>
          </m:e>
          <m:sub>
            <m:r>
              <w:rPr>
                <w:rFonts w:ascii="Cambria Math" w:hAnsi="Cambria Math"/>
                <w:lang w:val="en-US"/>
              </w:rPr>
              <m:t>long</m:t>
            </m:r>
          </m:sub>
        </m:sSub>
        <m:r>
          <w:rPr>
            <w:rFonts w:ascii="Cambria Math" w:hAnsi="Cambria Math"/>
            <w:lang w:val="en-US"/>
          </w:rPr>
          <m:t>=1</m:t>
        </m:r>
      </m:oMath>
      <w:r w:rsidR="000E2511" w:rsidRPr="000E2511">
        <w:rPr>
          <w:lang w:val="en-US"/>
        </w:rPr>
        <w:t xml:space="preserve"> and </w:t>
      </w:r>
      <m:oMath>
        <m:sSub>
          <m:sSubPr>
            <m:ctrlPr>
              <w:rPr>
                <w:rFonts w:ascii="Cambria Math" w:eastAsiaTheme="minorEastAsia" w:hAnsi="Cambria Math" w:cstheme="minorBidi"/>
                <w:i/>
                <w:lang w:val="en-US"/>
              </w:rPr>
            </m:ctrlPr>
          </m:sSubPr>
          <m:e>
            <m:r>
              <w:rPr>
                <w:rFonts w:ascii="Cambria Math" w:hAnsi="Cambria Math"/>
                <w:lang w:val="en-US"/>
              </w:rPr>
              <m:t>S</m:t>
            </m:r>
          </m:e>
          <m:sub>
            <m:r>
              <w:rPr>
                <w:rFonts w:ascii="Cambria Math" w:hAnsi="Cambria Math"/>
                <w:lang w:val="en-US"/>
              </w:rPr>
              <m:t>short</m:t>
            </m:r>
          </m:sub>
        </m:sSub>
        <m:r>
          <w:rPr>
            <w:rFonts w:ascii="Cambria Math" w:hAnsi="Cambria Math"/>
            <w:lang w:val="en-US"/>
          </w:rPr>
          <m:t>=0.8</m:t>
        </m:r>
      </m:oMath>
      <w:r w:rsidR="000E2511" w:rsidRPr="000E2511">
        <w:rPr>
          <w:lang w:val="en-US"/>
        </w:rPr>
        <w:t>.Then the trading strategy of RSRS slope index is:</w:t>
      </w:r>
    </w:p>
    <w:p w14:paraId="45C16909" w14:textId="2CE42272" w:rsidR="0081772F" w:rsidRDefault="0081772F" w:rsidP="000E2511">
      <w:pPr>
        <w:rPr>
          <w:lang w:val="en-US"/>
        </w:rPr>
      </w:pPr>
    </w:p>
    <w:p w14:paraId="470A4D86" w14:textId="3B3E8E60" w:rsidR="00844B22" w:rsidRDefault="00844B22" w:rsidP="000E2511">
      <w:pPr>
        <w:rPr>
          <w:lang w:val="en-US"/>
        </w:rPr>
      </w:pPr>
      <w:r>
        <w:rPr>
          <w:lang w:val="en-US"/>
        </w:rPr>
        <w:t>Strategy 1</w:t>
      </w:r>
      <w:r w:rsidR="00D6155F">
        <w:rPr>
          <w:lang w:val="en-US"/>
        </w:rPr>
        <w:t xml:space="preserve"> (Fixed)</w:t>
      </w:r>
      <w:r>
        <w:rPr>
          <w:lang w:val="en-US"/>
        </w:rPr>
        <w:t>:</w:t>
      </w:r>
    </w:p>
    <w:p w14:paraId="0C70AF96" w14:textId="6B3F9E3F" w:rsidR="000E2511" w:rsidRPr="0081772F" w:rsidRDefault="000E2511" w:rsidP="0081772F">
      <w:pPr>
        <w:pStyle w:val="ListParagraph"/>
        <w:numPr>
          <w:ilvl w:val="0"/>
          <w:numId w:val="1"/>
        </w:numPr>
        <w:rPr>
          <w:lang w:val="en-US"/>
        </w:rPr>
      </w:pPr>
      <w:r w:rsidRPr="0081772F">
        <w:rPr>
          <w:lang w:val="en-US"/>
        </w:rPr>
        <w:t>Calculate the RSRS slope</w:t>
      </w:r>
      <w:r w:rsidR="00025DA2">
        <w:rPr>
          <w:lang w:val="en-US"/>
        </w:rPr>
        <w:t xml:space="preserve"> using the </w:t>
      </w:r>
      <w:r w:rsidR="00451632">
        <w:rPr>
          <w:lang w:val="en-US"/>
        </w:rPr>
        <w:t>first</w:t>
      </w:r>
      <w:r w:rsidR="00025DA2">
        <w:rPr>
          <w:lang w:val="en-US"/>
        </w:rPr>
        <w:t xml:space="preserve"> approach</w:t>
      </w:r>
      <w:r w:rsidRPr="0081772F">
        <w:rPr>
          <w:lang w:val="en-US"/>
        </w:rPr>
        <w:t>.</w:t>
      </w:r>
    </w:p>
    <w:p w14:paraId="5A0CC9A9" w14:textId="555DF164" w:rsidR="000E2511" w:rsidRPr="0081772F" w:rsidRDefault="000E2511" w:rsidP="0081772F">
      <w:pPr>
        <w:pStyle w:val="ListParagraph"/>
        <w:numPr>
          <w:ilvl w:val="0"/>
          <w:numId w:val="1"/>
        </w:numPr>
        <w:rPr>
          <w:lang w:val="en-US"/>
        </w:rPr>
      </w:pPr>
      <w:r w:rsidRPr="0081772F">
        <w:rPr>
          <w:lang w:val="en-US"/>
        </w:rPr>
        <w:t>If</w:t>
      </w:r>
      <w:r w:rsidR="0084401B">
        <w:rPr>
          <w:lang w:val="en-US"/>
        </w:rPr>
        <w:t xml:space="preserve"> </w:t>
      </w:r>
      <m:oMath>
        <m:r>
          <w:rPr>
            <w:rFonts w:ascii="Cambria Math" w:hAnsi="Cambria Math"/>
            <w:lang w:val="en-US"/>
          </w:rPr>
          <m:t>RSRS&gt;</m:t>
        </m:r>
        <m:sSub>
          <m:sSubPr>
            <m:ctrlPr>
              <w:rPr>
                <w:rFonts w:ascii="Cambria Math" w:eastAsiaTheme="minorEastAsia" w:hAnsi="Cambria Math" w:cstheme="minorBidi"/>
                <w:i/>
                <w:lang w:val="en-US"/>
              </w:rPr>
            </m:ctrlPr>
          </m:sSubPr>
          <m:e>
            <m:r>
              <w:rPr>
                <w:rFonts w:ascii="Cambria Math" w:hAnsi="Cambria Math"/>
                <w:lang w:val="en-US"/>
              </w:rPr>
              <m:t>S</m:t>
            </m:r>
          </m:e>
          <m:sub>
            <m:r>
              <w:rPr>
                <w:rFonts w:ascii="Cambria Math" w:hAnsi="Cambria Math"/>
                <w:lang w:val="en-US"/>
              </w:rPr>
              <m:t>long</m:t>
            </m:r>
          </m:sub>
        </m:sSub>
        <m:r>
          <w:rPr>
            <w:rFonts w:ascii="Cambria Math" w:hAnsi="Cambria Math"/>
            <w:lang w:val="en-US"/>
          </w:rPr>
          <m:t>=1</m:t>
        </m:r>
      </m:oMath>
      <w:r w:rsidRPr="0081772F">
        <w:rPr>
          <w:lang w:val="en-US"/>
        </w:rPr>
        <w:t>, buy and hold.</w:t>
      </w:r>
    </w:p>
    <w:p w14:paraId="5F88E5B5" w14:textId="3907A72A" w:rsidR="00BE1880" w:rsidRDefault="000E2511" w:rsidP="0081772F">
      <w:pPr>
        <w:pStyle w:val="ListParagraph"/>
        <w:numPr>
          <w:ilvl w:val="0"/>
          <w:numId w:val="1"/>
        </w:numPr>
        <w:rPr>
          <w:lang w:val="en-US"/>
        </w:rPr>
      </w:pPr>
      <w:r w:rsidRPr="0081772F">
        <w:rPr>
          <w:lang w:val="en-US"/>
        </w:rPr>
        <w:t xml:space="preserve">If </w:t>
      </w:r>
      <m:oMath>
        <m:r>
          <w:rPr>
            <w:rFonts w:ascii="Cambria Math" w:hAnsi="Cambria Math"/>
            <w:lang w:val="en-US"/>
          </w:rPr>
          <m:t>RSRS&lt;</m:t>
        </m:r>
        <m:sSub>
          <m:sSubPr>
            <m:ctrlPr>
              <w:rPr>
                <w:rFonts w:ascii="Cambria Math" w:eastAsiaTheme="minorEastAsia" w:hAnsi="Cambria Math" w:cstheme="minorBidi"/>
                <w:i/>
                <w:lang w:val="en-US"/>
              </w:rPr>
            </m:ctrlPr>
          </m:sSubPr>
          <m:e>
            <m:r>
              <w:rPr>
                <w:rFonts w:ascii="Cambria Math" w:hAnsi="Cambria Math"/>
                <w:lang w:val="en-US"/>
              </w:rPr>
              <m:t>S</m:t>
            </m:r>
          </m:e>
          <m:sub>
            <m:r>
              <w:rPr>
                <w:rFonts w:ascii="Cambria Math" w:hAnsi="Cambria Math"/>
                <w:lang w:val="en-US"/>
              </w:rPr>
              <m:t>short</m:t>
            </m:r>
          </m:sub>
        </m:sSub>
        <m:r>
          <w:rPr>
            <w:rFonts w:ascii="Cambria Math" w:hAnsi="Cambria Math"/>
            <w:lang w:val="en-US"/>
          </w:rPr>
          <m:t>=0.8</m:t>
        </m:r>
      </m:oMath>
      <w:r w:rsidRPr="0081772F">
        <w:rPr>
          <w:lang w:val="en-US"/>
        </w:rPr>
        <w:t>, the position is closed by selling.</w:t>
      </w:r>
    </w:p>
    <w:p w14:paraId="75A4D843" w14:textId="097632C4" w:rsidR="009004F1" w:rsidRDefault="009004F1" w:rsidP="009004F1">
      <w:pPr>
        <w:rPr>
          <w:lang w:val="en-US"/>
        </w:rPr>
      </w:pPr>
    </w:p>
    <w:p w14:paraId="5F248CBE" w14:textId="77777777" w:rsidR="002E7F94" w:rsidRDefault="00CE4669" w:rsidP="009004F1">
      <w:pPr>
        <w:rPr>
          <w:lang w:val="en-US"/>
        </w:rPr>
      </w:pPr>
      <w:r>
        <w:rPr>
          <w:lang w:val="en-US"/>
        </w:rPr>
        <w:lastRenderedPageBreak/>
        <w:t xml:space="preserve">For </w:t>
      </w:r>
      <w:r w:rsidR="00AD7677">
        <w:rPr>
          <w:lang w:val="en-US"/>
        </w:rPr>
        <w:t xml:space="preserve">robustness </w:t>
      </w:r>
      <w:r w:rsidR="008644E3">
        <w:rPr>
          <w:lang w:val="en-US"/>
        </w:rPr>
        <w:t>checking, we construct Strategy 2</w:t>
      </w:r>
      <w:r w:rsidR="00DD2183">
        <w:rPr>
          <w:lang w:val="en-US"/>
        </w:rPr>
        <w:t xml:space="preserve"> </w:t>
      </w:r>
      <w:r w:rsidR="00857449">
        <w:rPr>
          <w:lang w:val="en-US"/>
        </w:rPr>
        <w:t xml:space="preserve">strictly </w:t>
      </w:r>
      <w:r w:rsidR="00DD2183">
        <w:rPr>
          <w:lang w:val="en-US"/>
        </w:rPr>
        <w:t>using</w:t>
      </w:r>
      <w:r w:rsidR="00857449">
        <w:rPr>
          <w:lang w:val="en-US"/>
        </w:rPr>
        <w:t xml:space="preserve"> </w:t>
      </w:r>
      <w:r w:rsidR="002E7F94">
        <w:rPr>
          <w:lang w:val="en-US"/>
        </w:rPr>
        <w:t>the mean and standard deviation:</w:t>
      </w:r>
    </w:p>
    <w:p w14:paraId="168643E0" w14:textId="1BF43836" w:rsidR="009004F1" w:rsidRDefault="00DD2183" w:rsidP="009004F1">
      <w:pPr>
        <w:rPr>
          <w:lang w:val="en-US"/>
        </w:rPr>
      </w:pPr>
      <w:r>
        <w:rPr>
          <w:lang w:val="en-US"/>
        </w:rPr>
        <w:t xml:space="preserve"> </w:t>
      </w:r>
    </w:p>
    <w:p w14:paraId="0F56C737" w14:textId="4B335AFB" w:rsidR="007A0477" w:rsidRDefault="007A0477" w:rsidP="007A0477">
      <w:pPr>
        <w:rPr>
          <w:lang w:val="en-US"/>
        </w:rPr>
      </w:pPr>
      <w:r>
        <w:rPr>
          <w:lang w:val="en-US"/>
        </w:rPr>
        <w:t xml:space="preserve">Strategy </w:t>
      </w:r>
      <w:r w:rsidR="00035FA5">
        <w:rPr>
          <w:lang w:val="en-US"/>
        </w:rPr>
        <w:t>2</w:t>
      </w:r>
      <w:r w:rsidR="00D6155F">
        <w:rPr>
          <w:lang w:val="en-US"/>
        </w:rPr>
        <w:t xml:space="preserve"> (One Sigma)</w:t>
      </w:r>
      <w:r>
        <w:rPr>
          <w:lang w:val="en-US"/>
        </w:rPr>
        <w:t>:</w:t>
      </w:r>
    </w:p>
    <w:p w14:paraId="0F2535A5" w14:textId="608DE8AA" w:rsidR="007A0477" w:rsidRPr="0081772F" w:rsidRDefault="007A0477" w:rsidP="007A0477">
      <w:pPr>
        <w:pStyle w:val="ListParagraph"/>
        <w:numPr>
          <w:ilvl w:val="0"/>
          <w:numId w:val="2"/>
        </w:numPr>
        <w:rPr>
          <w:lang w:val="en-US"/>
        </w:rPr>
      </w:pPr>
      <w:r w:rsidRPr="0081772F">
        <w:rPr>
          <w:lang w:val="en-US"/>
        </w:rPr>
        <w:t>Calculate the RSRS slope</w:t>
      </w:r>
      <w:r w:rsidR="00A95F34">
        <w:rPr>
          <w:lang w:val="en-US"/>
        </w:rPr>
        <w:t xml:space="preserve"> using the second approach</w:t>
      </w:r>
      <w:r w:rsidRPr="0081772F">
        <w:rPr>
          <w:lang w:val="en-US"/>
        </w:rPr>
        <w:t>.</w:t>
      </w:r>
    </w:p>
    <w:p w14:paraId="2187A8F3" w14:textId="7F1B64E3" w:rsidR="007A0477" w:rsidRPr="0081772F" w:rsidRDefault="007A0477" w:rsidP="007A0477">
      <w:pPr>
        <w:pStyle w:val="ListParagraph"/>
        <w:numPr>
          <w:ilvl w:val="0"/>
          <w:numId w:val="2"/>
        </w:numPr>
        <w:rPr>
          <w:lang w:val="en-US"/>
        </w:rPr>
      </w:pPr>
      <w:r w:rsidRPr="0081772F">
        <w:rPr>
          <w:lang w:val="en-US"/>
        </w:rPr>
        <w:t>If</w:t>
      </w:r>
      <w:r>
        <w:rPr>
          <w:lang w:val="en-US"/>
        </w:rPr>
        <w:t xml:space="preserve"> </w:t>
      </w:r>
      <m:oMath>
        <m:r>
          <w:rPr>
            <w:rFonts w:ascii="Cambria Math" w:hAnsi="Cambria Math"/>
            <w:lang w:val="en-US"/>
          </w:rPr>
          <m:t>RSRS&gt;</m:t>
        </m:r>
        <m:sSub>
          <m:sSubPr>
            <m:ctrlPr>
              <w:rPr>
                <w:rFonts w:ascii="Cambria Math" w:eastAsiaTheme="minorEastAsia" w:hAnsi="Cambria Math" w:cstheme="minorBidi"/>
                <w:i/>
                <w:lang w:val="en-US"/>
              </w:rPr>
            </m:ctrlPr>
          </m:sSubPr>
          <m:e>
            <m:r>
              <w:rPr>
                <w:rFonts w:ascii="Cambria Math" w:hAnsi="Cambria Math"/>
                <w:lang w:val="en-US"/>
              </w:rPr>
              <m:t>S</m:t>
            </m:r>
          </m:e>
          <m:sub>
            <m:r>
              <w:rPr>
                <w:rFonts w:ascii="Cambria Math" w:hAnsi="Cambria Math"/>
                <w:lang w:val="en-US"/>
              </w:rPr>
              <m:t>long</m:t>
            </m:r>
          </m:sub>
        </m:sSub>
        <m:r>
          <w:rPr>
            <w:rFonts w:ascii="Cambria Math" w:hAnsi="Cambria Math"/>
            <w:lang w:val="en-US"/>
          </w:rPr>
          <m:t>=μ+σ</m:t>
        </m:r>
      </m:oMath>
      <w:r w:rsidRPr="0081772F">
        <w:rPr>
          <w:lang w:val="en-US"/>
        </w:rPr>
        <w:t>, buy and hold.</w:t>
      </w:r>
    </w:p>
    <w:p w14:paraId="6C6939FB" w14:textId="14BB49A4" w:rsidR="007A0477" w:rsidRDefault="007A0477" w:rsidP="007A0477">
      <w:pPr>
        <w:pStyle w:val="ListParagraph"/>
        <w:numPr>
          <w:ilvl w:val="0"/>
          <w:numId w:val="2"/>
        </w:numPr>
        <w:rPr>
          <w:lang w:val="en-US"/>
        </w:rPr>
      </w:pPr>
      <w:r w:rsidRPr="0081772F">
        <w:rPr>
          <w:lang w:val="en-US"/>
        </w:rPr>
        <w:t xml:space="preserve">If </w:t>
      </w:r>
      <m:oMath>
        <m:r>
          <w:rPr>
            <w:rFonts w:ascii="Cambria Math" w:hAnsi="Cambria Math"/>
            <w:lang w:val="en-US"/>
          </w:rPr>
          <m:t>RSRS&lt;</m:t>
        </m:r>
        <m:sSub>
          <m:sSubPr>
            <m:ctrlPr>
              <w:rPr>
                <w:rFonts w:ascii="Cambria Math" w:eastAsiaTheme="minorEastAsia" w:hAnsi="Cambria Math" w:cstheme="minorBidi"/>
                <w:i/>
                <w:lang w:val="en-US"/>
              </w:rPr>
            </m:ctrlPr>
          </m:sSubPr>
          <m:e>
            <m:r>
              <w:rPr>
                <w:rFonts w:ascii="Cambria Math" w:hAnsi="Cambria Math"/>
                <w:lang w:val="en-US"/>
              </w:rPr>
              <m:t>S</m:t>
            </m:r>
          </m:e>
          <m:sub>
            <m:r>
              <w:rPr>
                <w:rFonts w:ascii="Cambria Math" w:hAnsi="Cambria Math"/>
                <w:lang w:val="en-US"/>
              </w:rPr>
              <m:t>short</m:t>
            </m:r>
          </m:sub>
        </m:sSub>
        <m:r>
          <w:rPr>
            <w:rFonts w:ascii="Cambria Math" w:hAnsi="Cambria Math"/>
            <w:lang w:val="en-US"/>
          </w:rPr>
          <m:t>=μ-σ</m:t>
        </m:r>
      </m:oMath>
      <w:r w:rsidRPr="0081772F">
        <w:rPr>
          <w:lang w:val="en-US"/>
        </w:rPr>
        <w:t>, the position is closed by selling.</w:t>
      </w:r>
    </w:p>
    <w:p w14:paraId="031D1FBA" w14:textId="072E8B2A" w:rsidR="007A0477" w:rsidRDefault="007A0477" w:rsidP="009004F1">
      <w:pPr>
        <w:rPr>
          <w:lang w:val="en-US"/>
        </w:rPr>
      </w:pPr>
    </w:p>
    <w:p w14:paraId="1F9D9184" w14:textId="1A5CF910" w:rsidR="004E3D80" w:rsidRDefault="007214BC" w:rsidP="009004F1">
      <w:pPr>
        <w:rPr>
          <w:b/>
          <w:bCs/>
          <w:lang w:val="en-US"/>
        </w:rPr>
      </w:pPr>
      <w:r>
        <w:rPr>
          <w:b/>
          <w:bCs/>
          <w:lang w:val="en-US"/>
        </w:rPr>
        <w:t>Strategy Performance on individual stocks</w:t>
      </w:r>
      <w:r w:rsidR="00FA3D01">
        <w:rPr>
          <w:b/>
          <w:bCs/>
          <w:lang w:val="en-US"/>
        </w:rPr>
        <w:t>: using 000001.SZ</w:t>
      </w:r>
    </w:p>
    <w:p w14:paraId="300F8FAD" w14:textId="6F4C0536" w:rsidR="00A414B2" w:rsidRDefault="00A414B2" w:rsidP="009004F1">
      <w:pPr>
        <w:rPr>
          <w:b/>
          <w:bCs/>
          <w:lang w:val="en-US"/>
        </w:rPr>
      </w:pPr>
    </w:p>
    <w:tbl>
      <w:tblPr>
        <w:tblStyle w:val="TableGrid"/>
        <w:tblW w:w="0" w:type="auto"/>
        <w:tblLook w:val="04A0" w:firstRow="1" w:lastRow="0" w:firstColumn="1" w:lastColumn="0" w:noHBand="0" w:noVBand="1"/>
      </w:tblPr>
      <w:tblGrid>
        <w:gridCol w:w="2477"/>
        <w:gridCol w:w="2455"/>
        <w:gridCol w:w="2353"/>
      </w:tblGrid>
      <w:tr w:rsidR="009B72D5" w14:paraId="6B3AF3CC" w14:textId="41C8C088" w:rsidTr="00D45082">
        <w:tc>
          <w:tcPr>
            <w:tcW w:w="2477" w:type="dxa"/>
          </w:tcPr>
          <w:p w14:paraId="60821B3D" w14:textId="77777777" w:rsidR="009B72D5" w:rsidRDefault="009B72D5" w:rsidP="009004F1">
            <w:pPr>
              <w:rPr>
                <w:lang w:val="en-US"/>
              </w:rPr>
            </w:pPr>
          </w:p>
        </w:tc>
        <w:tc>
          <w:tcPr>
            <w:tcW w:w="2455" w:type="dxa"/>
          </w:tcPr>
          <w:p w14:paraId="7A5BEF50" w14:textId="65EA064C" w:rsidR="009B72D5" w:rsidRDefault="009B72D5" w:rsidP="009004F1">
            <w:pPr>
              <w:rPr>
                <w:lang w:val="en-US"/>
              </w:rPr>
            </w:pPr>
            <w:r>
              <w:rPr>
                <w:lang w:val="en-US"/>
              </w:rPr>
              <w:t>Strategy 1: Fixed</w:t>
            </w:r>
          </w:p>
        </w:tc>
        <w:tc>
          <w:tcPr>
            <w:tcW w:w="2353" w:type="dxa"/>
          </w:tcPr>
          <w:p w14:paraId="33F8CF71" w14:textId="5543C953" w:rsidR="009B72D5" w:rsidRDefault="009B72D5" w:rsidP="009004F1">
            <w:pPr>
              <w:rPr>
                <w:lang w:val="en-US"/>
              </w:rPr>
            </w:pPr>
            <w:r>
              <w:rPr>
                <w:lang w:val="en-US"/>
              </w:rPr>
              <w:t>Strategy 2: One Sigma</w:t>
            </w:r>
          </w:p>
        </w:tc>
      </w:tr>
      <w:tr w:rsidR="00AA29FA" w14:paraId="4606A7EB" w14:textId="7E2A5582" w:rsidTr="00D45082">
        <w:tc>
          <w:tcPr>
            <w:tcW w:w="2477" w:type="dxa"/>
          </w:tcPr>
          <w:p w14:paraId="4FA7B977" w14:textId="1A50EAE0" w:rsidR="00AA29FA" w:rsidRDefault="00AA29FA" w:rsidP="00AA29FA">
            <w:pPr>
              <w:rPr>
                <w:lang w:val="en-US"/>
              </w:rPr>
            </w:pPr>
            <w:r>
              <w:rPr>
                <w:lang w:val="en-US"/>
              </w:rPr>
              <w:t>Initial Value at 2000.01.01.</w:t>
            </w:r>
          </w:p>
        </w:tc>
        <w:tc>
          <w:tcPr>
            <w:tcW w:w="2455" w:type="dxa"/>
          </w:tcPr>
          <w:p w14:paraId="7082FAD8" w14:textId="59A91BA0" w:rsidR="00AA29FA" w:rsidRDefault="00AA29FA" w:rsidP="00AA29FA">
            <w:pPr>
              <w:rPr>
                <w:lang w:val="en-US"/>
              </w:rPr>
            </w:pPr>
            <w:r>
              <w:rPr>
                <w:lang w:val="en-US"/>
              </w:rPr>
              <w:t>1,000,000</w:t>
            </w:r>
          </w:p>
        </w:tc>
        <w:tc>
          <w:tcPr>
            <w:tcW w:w="2353" w:type="dxa"/>
          </w:tcPr>
          <w:p w14:paraId="6BDE30E5" w14:textId="42A4AACC" w:rsidR="00AA29FA" w:rsidRDefault="00AA29FA" w:rsidP="00AA29FA">
            <w:pPr>
              <w:rPr>
                <w:lang w:val="en-US"/>
              </w:rPr>
            </w:pPr>
            <w:r>
              <w:rPr>
                <w:lang w:val="en-US"/>
              </w:rPr>
              <w:t>1,000,000</w:t>
            </w:r>
          </w:p>
        </w:tc>
      </w:tr>
      <w:tr w:rsidR="009B72D5" w14:paraId="10761BE7" w14:textId="024F438A" w:rsidTr="00D45082">
        <w:tc>
          <w:tcPr>
            <w:tcW w:w="2477" w:type="dxa"/>
          </w:tcPr>
          <w:p w14:paraId="0864BD6A" w14:textId="78717359" w:rsidR="009B72D5" w:rsidRDefault="009B72D5" w:rsidP="00F56B58">
            <w:pPr>
              <w:rPr>
                <w:lang w:val="en-US"/>
              </w:rPr>
            </w:pPr>
            <w:r>
              <w:rPr>
                <w:lang w:val="en-US"/>
              </w:rPr>
              <w:t>Long Frequency</w:t>
            </w:r>
          </w:p>
        </w:tc>
        <w:tc>
          <w:tcPr>
            <w:tcW w:w="2455" w:type="dxa"/>
          </w:tcPr>
          <w:p w14:paraId="1BC33339" w14:textId="336306E8" w:rsidR="009B72D5" w:rsidRDefault="009B72D5" w:rsidP="00F56B58">
            <w:pPr>
              <w:rPr>
                <w:lang w:val="en-US"/>
              </w:rPr>
            </w:pPr>
            <w:r>
              <w:rPr>
                <w:lang w:val="en-US"/>
              </w:rPr>
              <w:t>92</w:t>
            </w:r>
          </w:p>
        </w:tc>
        <w:tc>
          <w:tcPr>
            <w:tcW w:w="2353" w:type="dxa"/>
          </w:tcPr>
          <w:p w14:paraId="2A90CF86" w14:textId="462C2778" w:rsidR="009B72D5" w:rsidRDefault="009E690C" w:rsidP="00F56B58">
            <w:pPr>
              <w:rPr>
                <w:lang w:val="en-US"/>
              </w:rPr>
            </w:pPr>
            <w:r>
              <w:rPr>
                <w:lang w:val="en-US"/>
              </w:rPr>
              <w:t>5</w:t>
            </w:r>
            <w:r w:rsidR="008A3F69">
              <w:rPr>
                <w:lang w:val="en-US"/>
              </w:rPr>
              <w:t>5</w:t>
            </w:r>
          </w:p>
        </w:tc>
      </w:tr>
      <w:tr w:rsidR="009B72D5" w14:paraId="1243169C" w14:textId="3E48943B" w:rsidTr="00D45082">
        <w:tc>
          <w:tcPr>
            <w:tcW w:w="2477" w:type="dxa"/>
          </w:tcPr>
          <w:p w14:paraId="1E1926B1" w14:textId="790CC992" w:rsidR="009B72D5" w:rsidRDefault="009B72D5" w:rsidP="00F56B58">
            <w:pPr>
              <w:rPr>
                <w:lang w:val="en-US"/>
              </w:rPr>
            </w:pPr>
            <w:r>
              <w:rPr>
                <w:lang w:val="en-US"/>
              </w:rPr>
              <w:t>Short Frequency</w:t>
            </w:r>
          </w:p>
        </w:tc>
        <w:tc>
          <w:tcPr>
            <w:tcW w:w="2455" w:type="dxa"/>
          </w:tcPr>
          <w:p w14:paraId="45EE0980" w14:textId="7A9DD754" w:rsidR="009B72D5" w:rsidRDefault="009B72D5" w:rsidP="00F56B58">
            <w:pPr>
              <w:rPr>
                <w:lang w:val="en-US"/>
              </w:rPr>
            </w:pPr>
            <w:r>
              <w:rPr>
                <w:lang w:val="en-US"/>
              </w:rPr>
              <w:t>91</w:t>
            </w:r>
          </w:p>
        </w:tc>
        <w:tc>
          <w:tcPr>
            <w:tcW w:w="2353" w:type="dxa"/>
          </w:tcPr>
          <w:p w14:paraId="57EF4BFD" w14:textId="546CE819" w:rsidR="009B72D5" w:rsidRDefault="009E690C" w:rsidP="00F56B58">
            <w:pPr>
              <w:rPr>
                <w:lang w:val="en-US"/>
              </w:rPr>
            </w:pPr>
            <w:r>
              <w:rPr>
                <w:lang w:val="en-US"/>
              </w:rPr>
              <w:t>5</w:t>
            </w:r>
            <w:r w:rsidR="008A3F69">
              <w:rPr>
                <w:lang w:val="en-US"/>
              </w:rPr>
              <w:t>5</w:t>
            </w:r>
          </w:p>
        </w:tc>
      </w:tr>
      <w:tr w:rsidR="009B72D5" w14:paraId="13A3BE3C" w14:textId="13C0C19F" w:rsidTr="00D45082">
        <w:tc>
          <w:tcPr>
            <w:tcW w:w="2477" w:type="dxa"/>
          </w:tcPr>
          <w:p w14:paraId="32C70F27" w14:textId="145AA3EF" w:rsidR="009B72D5" w:rsidRDefault="009B72D5" w:rsidP="00F56B58">
            <w:pPr>
              <w:rPr>
                <w:lang w:val="en-US"/>
              </w:rPr>
            </w:pPr>
            <w:r>
              <w:rPr>
                <w:lang w:val="en-US"/>
              </w:rPr>
              <w:t>Ending Value at 2020.12.31.</w:t>
            </w:r>
          </w:p>
        </w:tc>
        <w:tc>
          <w:tcPr>
            <w:tcW w:w="2455" w:type="dxa"/>
          </w:tcPr>
          <w:p w14:paraId="199D12A7" w14:textId="292F5001" w:rsidR="009B72D5" w:rsidRDefault="00403756" w:rsidP="00F56B58">
            <w:pPr>
              <w:rPr>
                <w:lang w:val="en-US"/>
              </w:rPr>
            </w:pPr>
            <w:r>
              <w:rPr>
                <w:lang w:val="en-US"/>
              </w:rPr>
              <w:t>23,733,107.00</w:t>
            </w:r>
          </w:p>
        </w:tc>
        <w:tc>
          <w:tcPr>
            <w:tcW w:w="2353" w:type="dxa"/>
          </w:tcPr>
          <w:p w14:paraId="39E14F15" w14:textId="59F2BE20" w:rsidR="009B72D5" w:rsidRDefault="00384F3D" w:rsidP="00F56B58">
            <w:pPr>
              <w:rPr>
                <w:lang w:val="en-US"/>
              </w:rPr>
            </w:pPr>
            <w:r>
              <w:rPr>
                <w:lang w:val="en-US"/>
              </w:rPr>
              <w:t>23</w:t>
            </w:r>
            <w:r w:rsidR="0046790C">
              <w:rPr>
                <w:lang w:val="en-US"/>
              </w:rPr>
              <w:t>,</w:t>
            </w:r>
            <w:r>
              <w:rPr>
                <w:lang w:val="en-US"/>
              </w:rPr>
              <w:t>065</w:t>
            </w:r>
            <w:r w:rsidR="0046790C">
              <w:rPr>
                <w:lang w:val="en-US"/>
              </w:rPr>
              <w:t>,</w:t>
            </w:r>
            <w:r>
              <w:rPr>
                <w:lang w:val="en-US"/>
              </w:rPr>
              <w:t>175</w:t>
            </w:r>
            <w:r w:rsidR="005F3E59">
              <w:rPr>
                <w:lang w:val="en-US"/>
              </w:rPr>
              <w:t>.00</w:t>
            </w:r>
          </w:p>
        </w:tc>
      </w:tr>
      <w:tr w:rsidR="009B72D5" w14:paraId="616B5F99" w14:textId="32FA582E" w:rsidTr="00D45082">
        <w:tc>
          <w:tcPr>
            <w:tcW w:w="2477" w:type="dxa"/>
          </w:tcPr>
          <w:p w14:paraId="0BC5C2F7" w14:textId="02D062A1" w:rsidR="009B72D5" w:rsidRDefault="009B72D5" w:rsidP="00F56B58">
            <w:pPr>
              <w:rPr>
                <w:lang w:val="en-US"/>
              </w:rPr>
            </w:pPr>
            <w:r>
              <w:rPr>
                <w:lang w:val="en-US"/>
              </w:rPr>
              <w:t>Annualized Return Rate</w:t>
            </w:r>
          </w:p>
        </w:tc>
        <w:tc>
          <w:tcPr>
            <w:tcW w:w="2455" w:type="dxa"/>
          </w:tcPr>
          <w:p w14:paraId="3CD535ED" w14:textId="7E448826" w:rsidR="009B72D5" w:rsidRDefault="0061383D" w:rsidP="00F56B58">
            <w:pPr>
              <w:rPr>
                <w:lang w:val="en-US"/>
              </w:rPr>
            </w:pPr>
            <w:r>
              <w:rPr>
                <w:lang w:val="en-US"/>
              </w:rPr>
              <w:t>16.27</w:t>
            </w:r>
            <w:r w:rsidR="009B72D5">
              <w:rPr>
                <w:lang w:val="en-US"/>
              </w:rPr>
              <w:t>%</w:t>
            </w:r>
          </w:p>
        </w:tc>
        <w:tc>
          <w:tcPr>
            <w:tcW w:w="2353" w:type="dxa"/>
          </w:tcPr>
          <w:p w14:paraId="5A82A7C7" w14:textId="2D24B221" w:rsidR="009B72D5" w:rsidRDefault="0024637A" w:rsidP="00F56B58">
            <w:pPr>
              <w:rPr>
                <w:lang w:val="en-US"/>
              </w:rPr>
            </w:pPr>
            <w:r>
              <w:rPr>
                <w:lang w:val="en-US"/>
              </w:rPr>
              <w:t>16</w:t>
            </w:r>
            <w:r w:rsidR="00553B34">
              <w:rPr>
                <w:lang w:val="en-US"/>
              </w:rPr>
              <w:t>.</w:t>
            </w:r>
            <w:r>
              <w:rPr>
                <w:lang w:val="en-US"/>
              </w:rPr>
              <w:t>12</w:t>
            </w:r>
            <w:r w:rsidR="00201B18">
              <w:rPr>
                <w:lang w:val="en-US"/>
              </w:rPr>
              <w:t>%</w:t>
            </w:r>
          </w:p>
        </w:tc>
      </w:tr>
      <w:tr w:rsidR="009B72D5" w14:paraId="372F052B" w14:textId="5F7F429C" w:rsidTr="00D45082">
        <w:tc>
          <w:tcPr>
            <w:tcW w:w="2477" w:type="dxa"/>
          </w:tcPr>
          <w:p w14:paraId="1A8C26C3" w14:textId="6331FD19" w:rsidR="009B72D5" w:rsidRDefault="009B72D5" w:rsidP="00F56B58">
            <w:pPr>
              <w:rPr>
                <w:lang w:val="en-US"/>
              </w:rPr>
            </w:pPr>
            <w:r>
              <w:rPr>
                <w:lang w:val="en-US"/>
              </w:rPr>
              <w:t>Tracking Error</w:t>
            </w:r>
          </w:p>
        </w:tc>
        <w:tc>
          <w:tcPr>
            <w:tcW w:w="2455" w:type="dxa"/>
          </w:tcPr>
          <w:p w14:paraId="0DB7C99B" w14:textId="31D69C28" w:rsidR="009B72D5" w:rsidRDefault="00403756" w:rsidP="00F56B58">
            <w:pPr>
              <w:rPr>
                <w:lang w:val="en-US"/>
              </w:rPr>
            </w:pPr>
            <w:r>
              <w:rPr>
                <w:lang w:val="en-US"/>
              </w:rPr>
              <w:t>6.0695</w:t>
            </w:r>
          </w:p>
        </w:tc>
        <w:tc>
          <w:tcPr>
            <w:tcW w:w="2353" w:type="dxa"/>
          </w:tcPr>
          <w:p w14:paraId="5EBDECB7" w14:textId="488FA825" w:rsidR="009B72D5" w:rsidRDefault="00F176E5" w:rsidP="00F56B58">
            <w:pPr>
              <w:rPr>
                <w:lang w:val="en-US"/>
              </w:rPr>
            </w:pPr>
            <w:r>
              <w:rPr>
                <w:lang w:val="en-US"/>
              </w:rPr>
              <w:t>5</w:t>
            </w:r>
            <w:r w:rsidR="00B74509">
              <w:rPr>
                <w:lang w:val="en-US"/>
              </w:rPr>
              <w:t>.</w:t>
            </w:r>
            <w:r>
              <w:rPr>
                <w:lang w:val="en-US"/>
              </w:rPr>
              <w:t>3109</w:t>
            </w:r>
          </w:p>
        </w:tc>
      </w:tr>
      <w:tr w:rsidR="009B72D5" w14:paraId="1D5A8033" w14:textId="77777777" w:rsidTr="00D45082">
        <w:tc>
          <w:tcPr>
            <w:tcW w:w="2477" w:type="dxa"/>
          </w:tcPr>
          <w:p w14:paraId="7A780E80" w14:textId="7708D007" w:rsidR="009B72D5" w:rsidRDefault="009B72D5" w:rsidP="00F56B58">
            <w:pPr>
              <w:rPr>
                <w:lang w:val="en-US"/>
              </w:rPr>
            </w:pPr>
            <w:r>
              <w:rPr>
                <w:lang w:val="en-US"/>
              </w:rPr>
              <w:t>Information Ratio</w:t>
            </w:r>
          </w:p>
        </w:tc>
        <w:tc>
          <w:tcPr>
            <w:tcW w:w="2455" w:type="dxa"/>
          </w:tcPr>
          <w:p w14:paraId="6AD145E6" w14:textId="260EE0AD" w:rsidR="009B72D5" w:rsidRDefault="009B72D5" w:rsidP="00F56B58">
            <w:pPr>
              <w:rPr>
                <w:lang w:val="en-US"/>
              </w:rPr>
            </w:pPr>
            <w:r>
              <w:rPr>
                <w:lang w:val="en-US"/>
              </w:rPr>
              <w:t>0.0</w:t>
            </w:r>
            <w:r w:rsidR="004D5983">
              <w:rPr>
                <w:lang w:val="en-US"/>
              </w:rPr>
              <w:t>540</w:t>
            </w:r>
          </w:p>
        </w:tc>
        <w:tc>
          <w:tcPr>
            <w:tcW w:w="2353" w:type="dxa"/>
          </w:tcPr>
          <w:p w14:paraId="79737D11" w14:textId="682F7BC8" w:rsidR="009B72D5" w:rsidRDefault="00D72D5F" w:rsidP="00F56B58">
            <w:pPr>
              <w:rPr>
                <w:lang w:val="en-US"/>
              </w:rPr>
            </w:pPr>
            <w:r>
              <w:rPr>
                <w:lang w:val="en-US"/>
              </w:rPr>
              <w:t>0.0</w:t>
            </w:r>
            <w:r w:rsidR="00ED39D8">
              <w:rPr>
                <w:lang w:val="en-US"/>
              </w:rPr>
              <w:t>610</w:t>
            </w:r>
          </w:p>
        </w:tc>
      </w:tr>
      <w:tr w:rsidR="004032CD" w14:paraId="312AD843" w14:textId="77777777" w:rsidTr="00D45082">
        <w:tc>
          <w:tcPr>
            <w:tcW w:w="2477" w:type="dxa"/>
          </w:tcPr>
          <w:p w14:paraId="40ABBCBA" w14:textId="0DCA57BD" w:rsidR="004032CD" w:rsidRDefault="004032CD" w:rsidP="00F56B58">
            <w:pPr>
              <w:rPr>
                <w:lang w:val="en-US"/>
              </w:rPr>
            </w:pPr>
            <w:r>
              <w:rPr>
                <w:lang w:val="en-US"/>
              </w:rPr>
              <w:t>Maximize Drawback</w:t>
            </w:r>
            <w:r w:rsidR="00D67793">
              <w:rPr>
                <w:lang w:val="en-US"/>
              </w:rPr>
              <w:t xml:space="preserve"> Rate</w:t>
            </w:r>
          </w:p>
        </w:tc>
        <w:tc>
          <w:tcPr>
            <w:tcW w:w="2455" w:type="dxa"/>
          </w:tcPr>
          <w:p w14:paraId="1774111A" w14:textId="3511DB01" w:rsidR="004032CD" w:rsidRDefault="00EE7B96" w:rsidP="00F56B58">
            <w:pPr>
              <w:rPr>
                <w:lang w:val="en-US"/>
              </w:rPr>
            </w:pPr>
            <w:r>
              <w:rPr>
                <w:lang w:val="en-US"/>
              </w:rPr>
              <w:t>-1</w:t>
            </w:r>
            <w:r w:rsidR="00817C64">
              <w:rPr>
                <w:lang w:val="en-US"/>
              </w:rPr>
              <w:t>6</w:t>
            </w:r>
            <w:r>
              <w:rPr>
                <w:lang w:val="en-US"/>
              </w:rPr>
              <w:t>.</w:t>
            </w:r>
            <w:r w:rsidR="00817C64">
              <w:rPr>
                <w:lang w:val="en-US"/>
              </w:rPr>
              <w:t>07</w:t>
            </w:r>
            <w:r>
              <w:rPr>
                <w:lang w:val="en-US"/>
              </w:rPr>
              <w:t>%</w:t>
            </w:r>
          </w:p>
        </w:tc>
        <w:tc>
          <w:tcPr>
            <w:tcW w:w="2353" w:type="dxa"/>
          </w:tcPr>
          <w:p w14:paraId="5AC0CAA4" w14:textId="0A577943" w:rsidR="004032CD" w:rsidRDefault="00881869" w:rsidP="00F56B58">
            <w:pPr>
              <w:rPr>
                <w:lang w:val="en-US"/>
              </w:rPr>
            </w:pPr>
            <w:r>
              <w:rPr>
                <w:lang w:val="en-US"/>
              </w:rPr>
              <w:t>-</w:t>
            </w:r>
            <w:r w:rsidR="00ED39D8">
              <w:rPr>
                <w:lang w:val="en-US"/>
              </w:rPr>
              <w:t>16</w:t>
            </w:r>
            <w:r w:rsidR="00616945">
              <w:rPr>
                <w:lang w:val="en-US"/>
              </w:rPr>
              <w:t>.</w:t>
            </w:r>
            <w:r w:rsidR="00ED39D8">
              <w:rPr>
                <w:lang w:val="en-US"/>
              </w:rPr>
              <w:t>09</w:t>
            </w:r>
            <w:r>
              <w:rPr>
                <w:lang w:val="en-US"/>
              </w:rPr>
              <w:t>%</w:t>
            </w:r>
          </w:p>
        </w:tc>
      </w:tr>
    </w:tbl>
    <w:p w14:paraId="5270D856" w14:textId="2ECF3D41" w:rsidR="00F62916" w:rsidRDefault="00F62916" w:rsidP="009004F1">
      <w:pPr>
        <w:rPr>
          <w:lang w:val="en-US"/>
        </w:rPr>
      </w:pPr>
    </w:p>
    <w:p w14:paraId="2F169CBC" w14:textId="77777777" w:rsidR="006238AF" w:rsidRDefault="006238AF" w:rsidP="006238AF">
      <w:pPr>
        <w:rPr>
          <w:lang w:val="en-US"/>
        </w:rPr>
      </w:pPr>
      <w:r>
        <w:rPr>
          <w:lang w:val="en-US"/>
        </w:rPr>
        <w:t>The value comparison between 2 strategies and buy-and-hold strategy.</w:t>
      </w:r>
    </w:p>
    <w:p w14:paraId="18990D26" w14:textId="2B35F781" w:rsidR="00BF2A6A" w:rsidRPr="00BF2A6A" w:rsidRDefault="00BF2A6A" w:rsidP="00BF2A6A">
      <w:r w:rsidRPr="00BF2A6A">
        <w:rPr>
          <w:noProof/>
          <w:lang w:val="en-US"/>
        </w:rPr>
        <w:drawing>
          <wp:inline distT="0" distB="0" distL="0" distR="0" wp14:anchorId="16CEDA4A" wp14:editId="5D83FAB6">
            <wp:extent cx="2382520" cy="1644015"/>
            <wp:effectExtent l="0" t="0" r="508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2520" cy="1644015"/>
                    </a:xfrm>
                    <a:prstGeom prst="rect">
                      <a:avLst/>
                    </a:prstGeom>
                    <a:noFill/>
                    <a:ln>
                      <a:noFill/>
                    </a:ln>
                  </pic:spPr>
                </pic:pic>
              </a:graphicData>
            </a:graphic>
          </wp:inline>
        </w:drawing>
      </w:r>
    </w:p>
    <w:p w14:paraId="5CF59D60" w14:textId="77C9F487" w:rsidR="00E828B2" w:rsidRPr="00BF2A6A" w:rsidRDefault="00E828B2" w:rsidP="00E828B2">
      <w:pPr>
        <w:rPr>
          <w:lang w:val="en-US"/>
        </w:rPr>
      </w:pPr>
    </w:p>
    <w:p w14:paraId="761F99C8" w14:textId="77777777" w:rsidR="00A603C3" w:rsidRPr="00A603C3" w:rsidRDefault="00A603C3" w:rsidP="007176BC">
      <w:pPr>
        <w:rPr>
          <w:lang w:val="en-US"/>
        </w:rPr>
      </w:pPr>
    </w:p>
    <w:p w14:paraId="141D3970" w14:textId="2A990022" w:rsidR="00D13372" w:rsidRDefault="004A4925" w:rsidP="009004F1">
      <w:pPr>
        <w:rPr>
          <w:lang w:val="en-US"/>
        </w:rPr>
      </w:pPr>
      <w:r>
        <w:rPr>
          <w:lang w:val="en-US"/>
        </w:rPr>
        <w:t xml:space="preserve">Here we ignore the transaction cost, </w:t>
      </w:r>
      <w:r w:rsidR="00FF5008">
        <w:rPr>
          <w:lang w:val="en-US"/>
        </w:rPr>
        <w:t xml:space="preserve"> </w:t>
      </w:r>
      <w:r>
        <w:rPr>
          <w:lang w:val="en-US"/>
        </w:rPr>
        <w:t xml:space="preserve">and </w:t>
      </w:r>
      <w:r w:rsidR="006C733F" w:rsidRPr="00CB57BA">
        <w:rPr>
          <w:lang w:val="en-US"/>
        </w:rPr>
        <w:t>use the real transaction rule for our Monte Carlo</w:t>
      </w:r>
      <w:r w:rsidR="00F51D3A" w:rsidRPr="00CB57BA">
        <w:rPr>
          <w:lang w:val="en-US"/>
        </w:rPr>
        <w:t>:</w:t>
      </w:r>
      <w:r w:rsidR="00F51D3A">
        <w:rPr>
          <w:lang w:val="en-US"/>
        </w:rPr>
        <w:t xml:space="preserve"> </w:t>
      </w:r>
      <w:r w:rsidR="006B0260">
        <w:rPr>
          <w:lang w:val="en-US"/>
        </w:rPr>
        <w:t xml:space="preserve"> </w:t>
      </w:r>
      <w:r w:rsidR="00B861BB">
        <w:rPr>
          <w:lang w:val="en-US"/>
        </w:rPr>
        <w:t>investors are</w:t>
      </w:r>
      <w:r w:rsidR="00F51D3A">
        <w:rPr>
          <w:lang w:val="en-US"/>
        </w:rPr>
        <w:t xml:space="preserve"> only</w:t>
      </w:r>
      <w:r w:rsidR="00B861BB">
        <w:rPr>
          <w:lang w:val="en-US"/>
        </w:rPr>
        <w:t xml:space="preserve"> allowed to </w:t>
      </w:r>
      <w:r w:rsidR="00531598">
        <w:rPr>
          <w:lang w:val="en-US"/>
        </w:rPr>
        <w:t xml:space="preserve">transact with </w:t>
      </w:r>
      <w:r w:rsidR="003F206A">
        <w:rPr>
          <w:lang w:val="en-US"/>
        </w:rPr>
        <w:t xml:space="preserve">the </w:t>
      </w:r>
      <w:r w:rsidR="009C4E72">
        <w:rPr>
          <w:lang w:val="en-US"/>
        </w:rPr>
        <w:t>number at multiplier</w:t>
      </w:r>
      <w:r w:rsidR="003F206A">
        <w:rPr>
          <w:lang w:val="en-US"/>
        </w:rPr>
        <w:t xml:space="preserve"> of 100.</w:t>
      </w:r>
      <w:r w:rsidR="00C050F6">
        <w:rPr>
          <w:lang w:val="en-US"/>
        </w:rPr>
        <w:t xml:space="preserve"> </w:t>
      </w:r>
      <w:r w:rsidR="00103FC1">
        <w:rPr>
          <w:lang w:val="en-US"/>
        </w:rPr>
        <w:t xml:space="preserve">Since the assumed </w:t>
      </w:r>
      <w:r w:rsidR="001D6216">
        <w:rPr>
          <w:lang w:val="en-US"/>
        </w:rPr>
        <w:t xml:space="preserve">initial value of </w:t>
      </w:r>
      <w:r w:rsidR="009828AD">
        <w:rPr>
          <w:lang w:val="en-US"/>
        </w:rPr>
        <w:t xml:space="preserve">portfolio is </w:t>
      </w:r>
      <w:r w:rsidR="0073255C">
        <w:rPr>
          <w:lang w:val="en-US"/>
        </w:rPr>
        <w:t xml:space="preserve">higher, the transaction </w:t>
      </w:r>
      <w:r w:rsidR="008B3BD4">
        <w:rPr>
          <w:lang w:val="en-US"/>
        </w:rPr>
        <w:t xml:space="preserve">frictions </w:t>
      </w:r>
      <w:r w:rsidR="000E018E">
        <w:rPr>
          <w:lang w:val="en-US"/>
        </w:rPr>
        <w:t>are</w:t>
      </w:r>
      <w:r w:rsidR="006568AD">
        <w:rPr>
          <w:lang w:val="en-US"/>
        </w:rPr>
        <w:t xml:space="preserve"> </w:t>
      </w:r>
      <w:r w:rsidR="002E1C08">
        <w:rPr>
          <w:lang w:val="en-US"/>
        </w:rPr>
        <w:t>negligible.</w:t>
      </w:r>
      <w:r w:rsidR="008B042E">
        <w:rPr>
          <w:lang w:val="en-US"/>
        </w:rPr>
        <w:t xml:space="preserve"> And the sigma approach performs slightly better than the fixed approach.</w:t>
      </w:r>
    </w:p>
    <w:p w14:paraId="4AA6F018" w14:textId="77777777" w:rsidR="0031775E" w:rsidRDefault="0031775E" w:rsidP="009004F1">
      <w:pPr>
        <w:rPr>
          <w:lang w:val="en-US"/>
        </w:rPr>
      </w:pPr>
    </w:p>
    <w:p w14:paraId="118DB45D" w14:textId="43A479DD" w:rsidR="00B05AE3" w:rsidRDefault="00B05AE3" w:rsidP="009004F1">
      <w:pPr>
        <w:rPr>
          <w:lang w:val="en-US"/>
        </w:rPr>
      </w:pPr>
    </w:p>
    <w:p w14:paraId="1D07DC64" w14:textId="324FD3A0" w:rsidR="00B05AE3" w:rsidRDefault="00324436" w:rsidP="009004F1">
      <w:pPr>
        <w:rPr>
          <w:b/>
          <w:bCs/>
          <w:lang w:val="en-US"/>
        </w:rPr>
      </w:pPr>
      <w:r w:rsidRPr="00B135D4">
        <w:rPr>
          <w:rFonts w:hint="eastAsia"/>
          <w:b/>
          <w:bCs/>
          <w:lang w:val="en-US"/>
        </w:rPr>
        <w:t>Ro</w:t>
      </w:r>
      <w:r w:rsidRPr="00B135D4">
        <w:rPr>
          <w:b/>
          <w:bCs/>
          <w:lang w:val="en-US"/>
        </w:rPr>
        <w:t>bustness Che</w:t>
      </w:r>
      <w:r w:rsidR="0072685C" w:rsidRPr="00B135D4">
        <w:rPr>
          <w:b/>
          <w:bCs/>
          <w:lang w:val="en-US"/>
        </w:rPr>
        <w:t>c</w:t>
      </w:r>
      <w:r w:rsidRPr="00B135D4">
        <w:rPr>
          <w:b/>
          <w:bCs/>
          <w:lang w:val="en-US"/>
        </w:rPr>
        <w:t xml:space="preserve">king: using </w:t>
      </w:r>
      <w:r w:rsidR="0072685C" w:rsidRPr="00B135D4">
        <w:rPr>
          <w:b/>
          <w:bCs/>
          <w:lang w:val="en-US"/>
        </w:rPr>
        <w:t>000100.SZ, from 2010 to 2020</w:t>
      </w:r>
      <w:r w:rsidRPr="00B135D4">
        <w:rPr>
          <w:b/>
          <w:bCs/>
          <w:lang w:val="en-US"/>
        </w:rPr>
        <w:t xml:space="preserve"> </w:t>
      </w:r>
    </w:p>
    <w:p w14:paraId="3B767F03" w14:textId="4BF3606B" w:rsidR="00432D18" w:rsidRDefault="00432D18" w:rsidP="009004F1">
      <w:pPr>
        <w:rPr>
          <w:b/>
          <w:bCs/>
          <w:lang w:val="en-US"/>
        </w:rPr>
      </w:pPr>
    </w:p>
    <w:p w14:paraId="52C6C9E7" w14:textId="234FB4B1" w:rsidR="00432D18" w:rsidRDefault="00432D18" w:rsidP="009004F1">
      <w:pPr>
        <w:rPr>
          <w:lang w:val="en-US"/>
        </w:rPr>
      </w:pPr>
      <w:r w:rsidRPr="00432D18">
        <w:rPr>
          <w:lang w:val="en-US"/>
        </w:rPr>
        <w:t>Th</w:t>
      </w:r>
      <w:r>
        <w:rPr>
          <w:lang w:val="en-US"/>
        </w:rPr>
        <w:t>e stock price:</w:t>
      </w:r>
    </w:p>
    <w:p w14:paraId="1ED1CA3B" w14:textId="5C4FB318" w:rsidR="00CB3CE0" w:rsidRDefault="00C97E1C" w:rsidP="00C97E1C">
      <w:pPr>
        <w:tabs>
          <w:tab w:val="left" w:pos="2788"/>
        </w:tabs>
      </w:pPr>
      <w:r>
        <w:tab/>
      </w:r>
    </w:p>
    <w:p w14:paraId="6E119A99" w14:textId="6E5B2899" w:rsidR="009C6C2C" w:rsidRDefault="009C6C2C" w:rsidP="009C6C2C">
      <w:r>
        <w:rPr>
          <w:noProof/>
          <w:lang w:val="en-US"/>
        </w:rPr>
        <w:lastRenderedPageBreak/>
        <w:drawing>
          <wp:inline distT="0" distB="0" distL="0" distR="0" wp14:anchorId="14C8953A" wp14:editId="55B07A92">
            <wp:extent cx="2390775" cy="1669415"/>
            <wp:effectExtent l="0" t="0" r="0" b="0"/>
            <wp:docPr id="11" name="Picture 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histo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90775" cy="1669415"/>
                    </a:xfrm>
                    <a:prstGeom prst="rect">
                      <a:avLst/>
                    </a:prstGeom>
                    <a:noFill/>
                    <a:ln>
                      <a:noFill/>
                    </a:ln>
                  </pic:spPr>
                </pic:pic>
              </a:graphicData>
            </a:graphic>
          </wp:inline>
        </w:drawing>
      </w:r>
    </w:p>
    <w:p w14:paraId="43D3BAEC" w14:textId="77777777" w:rsidR="00432D18" w:rsidRPr="00432D18" w:rsidRDefault="00432D18" w:rsidP="009004F1">
      <w:pPr>
        <w:rPr>
          <w:lang w:val="en-US"/>
        </w:rPr>
      </w:pPr>
    </w:p>
    <w:p w14:paraId="18F419E2" w14:textId="6791BDCE" w:rsidR="00B135D4" w:rsidRDefault="00B135D4" w:rsidP="009004F1">
      <w:pPr>
        <w:rPr>
          <w:b/>
          <w:bCs/>
          <w:lang w:val="en-US"/>
        </w:rPr>
      </w:pPr>
    </w:p>
    <w:tbl>
      <w:tblPr>
        <w:tblStyle w:val="TableGrid"/>
        <w:tblW w:w="0" w:type="auto"/>
        <w:tblLook w:val="04A0" w:firstRow="1" w:lastRow="0" w:firstColumn="1" w:lastColumn="0" w:noHBand="0" w:noVBand="1"/>
      </w:tblPr>
      <w:tblGrid>
        <w:gridCol w:w="2477"/>
        <w:gridCol w:w="2455"/>
        <w:gridCol w:w="2353"/>
      </w:tblGrid>
      <w:tr w:rsidR="00682E45" w14:paraId="060ACB1C" w14:textId="77777777" w:rsidTr="00395FED">
        <w:tc>
          <w:tcPr>
            <w:tcW w:w="2477" w:type="dxa"/>
          </w:tcPr>
          <w:p w14:paraId="2F847E5D" w14:textId="77777777" w:rsidR="00682E45" w:rsidRDefault="00682E45" w:rsidP="00395FED">
            <w:pPr>
              <w:rPr>
                <w:lang w:val="en-US"/>
              </w:rPr>
            </w:pPr>
          </w:p>
        </w:tc>
        <w:tc>
          <w:tcPr>
            <w:tcW w:w="2455" w:type="dxa"/>
          </w:tcPr>
          <w:p w14:paraId="08F08D28" w14:textId="77777777" w:rsidR="00682E45" w:rsidRDefault="00682E45" w:rsidP="00395FED">
            <w:pPr>
              <w:rPr>
                <w:lang w:val="en-US"/>
              </w:rPr>
            </w:pPr>
            <w:r>
              <w:rPr>
                <w:lang w:val="en-US"/>
              </w:rPr>
              <w:t>Strategy 1: Fixed</w:t>
            </w:r>
          </w:p>
        </w:tc>
        <w:tc>
          <w:tcPr>
            <w:tcW w:w="2353" w:type="dxa"/>
          </w:tcPr>
          <w:p w14:paraId="0F63E311" w14:textId="77777777" w:rsidR="00682E45" w:rsidRDefault="00682E45" w:rsidP="00395FED">
            <w:pPr>
              <w:rPr>
                <w:lang w:val="en-US"/>
              </w:rPr>
            </w:pPr>
            <w:r>
              <w:rPr>
                <w:lang w:val="en-US"/>
              </w:rPr>
              <w:t>Strategy 2: One Sigma</w:t>
            </w:r>
          </w:p>
        </w:tc>
      </w:tr>
      <w:tr w:rsidR="005C054A" w14:paraId="407649C6" w14:textId="77777777" w:rsidTr="00395FED">
        <w:tc>
          <w:tcPr>
            <w:tcW w:w="2477" w:type="dxa"/>
          </w:tcPr>
          <w:p w14:paraId="671EB308" w14:textId="6CAA93D7" w:rsidR="005C054A" w:rsidRDefault="005C054A" w:rsidP="005C054A">
            <w:pPr>
              <w:rPr>
                <w:lang w:val="en-US"/>
              </w:rPr>
            </w:pPr>
            <w:r>
              <w:rPr>
                <w:lang w:val="en-US"/>
              </w:rPr>
              <w:t>Initial Value at 2010.01.01.</w:t>
            </w:r>
          </w:p>
        </w:tc>
        <w:tc>
          <w:tcPr>
            <w:tcW w:w="2455" w:type="dxa"/>
          </w:tcPr>
          <w:p w14:paraId="1FC72D26" w14:textId="600C9D5E" w:rsidR="005C054A" w:rsidRDefault="005C054A" w:rsidP="005C054A">
            <w:pPr>
              <w:rPr>
                <w:lang w:val="en-US"/>
              </w:rPr>
            </w:pPr>
            <w:r>
              <w:rPr>
                <w:lang w:val="en-US"/>
              </w:rPr>
              <w:t>1,000,000</w:t>
            </w:r>
          </w:p>
        </w:tc>
        <w:tc>
          <w:tcPr>
            <w:tcW w:w="2353" w:type="dxa"/>
          </w:tcPr>
          <w:p w14:paraId="371BCC38" w14:textId="5154076D" w:rsidR="005C054A" w:rsidRDefault="005C054A" w:rsidP="005C054A">
            <w:pPr>
              <w:rPr>
                <w:lang w:val="en-US"/>
              </w:rPr>
            </w:pPr>
            <w:r>
              <w:rPr>
                <w:lang w:val="en-US"/>
              </w:rPr>
              <w:t>1,000,000</w:t>
            </w:r>
          </w:p>
        </w:tc>
      </w:tr>
      <w:tr w:rsidR="00682E45" w14:paraId="79049A41" w14:textId="77777777" w:rsidTr="00395FED">
        <w:tc>
          <w:tcPr>
            <w:tcW w:w="2477" w:type="dxa"/>
          </w:tcPr>
          <w:p w14:paraId="14F90B12" w14:textId="77777777" w:rsidR="00682E45" w:rsidRDefault="00682E45" w:rsidP="00395FED">
            <w:pPr>
              <w:rPr>
                <w:lang w:val="en-US"/>
              </w:rPr>
            </w:pPr>
            <w:r>
              <w:rPr>
                <w:lang w:val="en-US"/>
              </w:rPr>
              <w:t>Long Frequency</w:t>
            </w:r>
          </w:p>
        </w:tc>
        <w:tc>
          <w:tcPr>
            <w:tcW w:w="2455" w:type="dxa"/>
          </w:tcPr>
          <w:p w14:paraId="312A78B9" w14:textId="7064D784" w:rsidR="00682E45" w:rsidRDefault="00F46D76" w:rsidP="00395FED">
            <w:pPr>
              <w:rPr>
                <w:lang w:val="en-US"/>
              </w:rPr>
            </w:pPr>
            <w:r>
              <w:rPr>
                <w:lang w:val="en-US"/>
              </w:rPr>
              <w:t>49</w:t>
            </w:r>
          </w:p>
        </w:tc>
        <w:tc>
          <w:tcPr>
            <w:tcW w:w="2353" w:type="dxa"/>
          </w:tcPr>
          <w:p w14:paraId="45661A1D" w14:textId="26E23961" w:rsidR="00682E45" w:rsidRDefault="002E02C5" w:rsidP="00395FED">
            <w:pPr>
              <w:rPr>
                <w:lang w:val="en-US"/>
              </w:rPr>
            </w:pPr>
            <w:r>
              <w:rPr>
                <w:lang w:val="en-US"/>
              </w:rPr>
              <w:t>27</w:t>
            </w:r>
          </w:p>
        </w:tc>
      </w:tr>
      <w:tr w:rsidR="00682E45" w14:paraId="76B5F825" w14:textId="77777777" w:rsidTr="00395FED">
        <w:tc>
          <w:tcPr>
            <w:tcW w:w="2477" w:type="dxa"/>
          </w:tcPr>
          <w:p w14:paraId="409EBA02" w14:textId="77777777" w:rsidR="00682E45" w:rsidRDefault="00682E45" w:rsidP="00395FED">
            <w:pPr>
              <w:rPr>
                <w:lang w:val="en-US"/>
              </w:rPr>
            </w:pPr>
            <w:r>
              <w:rPr>
                <w:lang w:val="en-US"/>
              </w:rPr>
              <w:t>Short Frequency</w:t>
            </w:r>
          </w:p>
        </w:tc>
        <w:tc>
          <w:tcPr>
            <w:tcW w:w="2455" w:type="dxa"/>
          </w:tcPr>
          <w:p w14:paraId="2452A516" w14:textId="595B8972" w:rsidR="00682E45" w:rsidRDefault="00F46D76" w:rsidP="00395FED">
            <w:pPr>
              <w:rPr>
                <w:lang w:val="en-US"/>
              </w:rPr>
            </w:pPr>
            <w:r>
              <w:rPr>
                <w:lang w:val="en-US"/>
              </w:rPr>
              <w:t>49</w:t>
            </w:r>
          </w:p>
        </w:tc>
        <w:tc>
          <w:tcPr>
            <w:tcW w:w="2353" w:type="dxa"/>
          </w:tcPr>
          <w:p w14:paraId="119405FA" w14:textId="6F47B064" w:rsidR="00682E45" w:rsidRDefault="002E02C5" w:rsidP="00395FED">
            <w:pPr>
              <w:rPr>
                <w:lang w:val="en-US"/>
              </w:rPr>
            </w:pPr>
            <w:r>
              <w:rPr>
                <w:lang w:val="en-US"/>
              </w:rPr>
              <w:t>2</w:t>
            </w:r>
            <w:r w:rsidR="00C8602C">
              <w:rPr>
                <w:lang w:val="en-US"/>
              </w:rPr>
              <w:t>7</w:t>
            </w:r>
          </w:p>
        </w:tc>
      </w:tr>
      <w:tr w:rsidR="00682E45" w14:paraId="5C1EB63F" w14:textId="77777777" w:rsidTr="00395FED">
        <w:tc>
          <w:tcPr>
            <w:tcW w:w="2477" w:type="dxa"/>
          </w:tcPr>
          <w:p w14:paraId="3DFDA9B7" w14:textId="77777777" w:rsidR="00682E45" w:rsidRDefault="00682E45" w:rsidP="00395FED">
            <w:pPr>
              <w:rPr>
                <w:lang w:val="en-US"/>
              </w:rPr>
            </w:pPr>
            <w:r>
              <w:rPr>
                <w:lang w:val="en-US"/>
              </w:rPr>
              <w:t>Ending Value at 2020.12.31.</w:t>
            </w:r>
          </w:p>
        </w:tc>
        <w:tc>
          <w:tcPr>
            <w:tcW w:w="2455" w:type="dxa"/>
          </w:tcPr>
          <w:p w14:paraId="47649823" w14:textId="5138C3B6" w:rsidR="00682E45" w:rsidRDefault="002256E4" w:rsidP="00395FED">
            <w:pPr>
              <w:rPr>
                <w:lang w:val="en-US"/>
              </w:rPr>
            </w:pPr>
            <w:r>
              <w:rPr>
                <w:lang w:val="en-US"/>
              </w:rPr>
              <w:t>2</w:t>
            </w:r>
            <w:r w:rsidR="00A05259">
              <w:rPr>
                <w:lang w:val="en-US"/>
              </w:rPr>
              <w:t>,</w:t>
            </w:r>
            <w:r>
              <w:rPr>
                <w:lang w:val="en-US"/>
              </w:rPr>
              <w:t>308</w:t>
            </w:r>
            <w:r w:rsidR="00A05259">
              <w:rPr>
                <w:lang w:val="en-US"/>
              </w:rPr>
              <w:t>,</w:t>
            </w:r>
            <w:r>
              <w:rPr>
                <w:lang w:val="en-US"/>
              </w:rPr>
              <w:t>860</w:t>
            </w:r>
            <w:r w:rsidR="00A05259">
              <w:rPr>
                <w:lang w:val="en-US"/>
              </w:rPr>
              <w:t>.</w:t>
            </w:r>
            <w:r>
              <w:rPr>
                <w:lang w:val="en-US"/>
              </w:rPr>
              <w:t>00</w:t>
            </w:r>
          </w:p>
        </w:tc>
        <w:tc>
          <w:tcPr>
            <w:tcW w:w="2353" w:type="dxa"/>
          </w:tcPr>
          <w:p w14:paraId="792D5B91" w14:textId="15BECD77" w:rsidR="00682E45" w:rsidRDefault="0099736B" w:rsidP="00395FED">
            <w:pPr>
              <w:rPr>
                <w:lang w:val="en-US"/>
              </w:rPr>
            </w:pPr>
            <w:r>
              <w:rPr>
                <w:lang w:val="en-US"/>
              </w:rPr>
              <w:t>2</w:t>
            </w:r>
            <w:r w:rsidR="007D37D4">
              <w:rPr>
                <w:lang w:val="en-US"/>
              </w:rPr>
              <w:t>,</w:t>
            </w:r>
            <w:r>
              <w:rPr>
                <w:lang w:val="en-US"/>
              </w:rPr>
              <w:t>850</w:t>
            </w:r>
            <w:r w:rsidR="007D37D4">
              <w:rPr>
                <w:lang w:val="en-US"/>
              </w:rPr>
              <w:t>,</w:t>
            </w:r>
            <w:r>
              <w:rPr>
                <w:lang w:val="en-US"/>
              </w:rPr>
              <w:t>588</w:t>
            </w:r>
            <w:r w:rsidR="008F4FE0">
              <w:rPr>
                <w:lang w:val="en-US"/>
              </w:rPr>
              <w:t>.</w:t>
            </w:r>
            <w:r>
              <w:rPr>
                <w:lang w:val="en-US"/>
              </w:rPr>
              <w:t>0</w:t>
            </w:r>
            <w:r w:rsidR="008F4FE0">
              <w:rPr>
                <w:lang w:val="en-US"/>
              </w:rPr>
              <w:t>0</w:t>
            </w:r>
          </w:p>
        </w:tc>
      </w:tr>
      <w:tr w:rsidR="00682E45" w14:paraId="38008BEA" w14:textId="77777777" w:rsidTr="00395FED">
        <w:tc>
          <w:tcPr>
            <w:tcW w:w="2477" w:type="dxa"/>
          </w:tcPr>
          <w:p w14:paraId="2142705F" w14:textId="77777777" w:rsidR="00682E45" w:rsidRDefault="00682E45" w:rsidP="00395FED">
            <w:pPr>
              <w:rPr>
                <w:lang w:val="en-US"/>
              </w:rPr>
            </w:pPr>
            <w:r>
              <w:rPr>
                <w:lang w:val="en-US"/>
              </w:rPr>
              <w:t>Annualized Return Rate</w:t>
            </w:r>
          </w:p>
        </w:tc>
        <w:tc>
          <w:tcPr>
            <w:tcW w:w="2455" w:type="dxa"/>
          </w:tcPr>
          <w:p w14:paraId="0CDDAC0E" w14:textId="48C02FA2" w:rsidR="00682E45" w:rsidRDefault="005801D6" w:rsidP="00395FED">
            <w:pPr>
              <w:rPr>
                <w:lang w:val="en-US"/>
              </w:rPr>
            </w:pPr>
            <w:r>
              <w:rPr>
                <w:lang w:val="en-US"/>
              </w:rPr>
              <w:t>7</w:t>
            </w:r>
            <w:r w:rsidR="00DE4DBF">
              <w:rPr>
                <w:lang w:val="en-US"/>
              </w:rPr>
              <w:t>.</w:t>
            </w:r>
            <w:r>
              <w:rPr>
                <w:lang w:val="en-US"/>
              </w:rPr>
              <w:t>90</w:t>
            </w:r>
            <w:r w:rsidR="00682E45">
              <w:rPr>
                <w:lang w:val="en-US"/>
              </w:rPr>
              <w:t>%</w:t>
            </w:r>
          </w:p>
        </w:tc>
        <w:tc>
          <w:tcPr>
            <w:tcW w:w="2353" w:type="dxa"/>
          </w:tcPr>
          <w:p w14:paraId="2F1E49C3" w14:textId="14D9E05B" w:rsidR="00682E45" w:rsidRDefault="00F73A5B" w:rsidP="00395FED">
            <w:pPr>
              <w:rPr>
                <w:lang w:val="en-US"/>
              </w:rPr>
            </w:pPr>
            <w:r>
              <w:rPr>
                <w:lang w:val="en-US"/>
              </w:rPr>
              <w:t>9</w:t>
            </w:r>
            <w:r w:rsidR="00130800">
              <w:rPr>
                <w:lang w:val="en-US"/>
              </w:rPr>
              <w:t>.</w:t>
            </w:r>
            <w:r>
              <w:rPr>
                <w:lang w:val="en-US"/>
              </w:rPr>
              <w:t>99</w:t>
            </w:r>
            <w:r w:rsidR="00682E45">
              <w:rPr>
                <w:lang w:val="en-US"/>
              </w:rPr>
              <w:t>%</w:t>
            </w:r>
          </w:p>
        </w:tc>
      </w:tr>
      <w:tr w:rsidR="00682E45" w14:paraId="21F310D3" w14:textId="77777777" w:rsidTr="00395FED">
        <w:tc>
          <w:tcPr>
            <w:tcW w:w="2477" w:type="dxa"/>
          </w:tcPr>
          <w:p w14:paraId="08047431" w14:textId="77777777" w:rsidR="00682E45" w:rsidRDefault="00682E45" w:rsidP="00395FED">
            <w:pPr>
              <w:rPr>
                <w:lang w:val="en-US"/>
              </w:rPr>
            </w:pPr>
            <w:r>
              <w:rPr>
                <w:lang w:val="en-US"/>
              </w:rPr>
              <w:t>Tracking Error</w:t>
            </w:r>
          </w:p>
        </w:tc>
        <w:tc>
          <w:tcPr>
            <w:tcW w:w="2455" w:type="dxa"/>
          </w:tcPr>
          <w:p w14:paraId="2DEA29A9" w14:textId="4C5D78E3" w:rsidR="00682E45" w:rsidRDefault="00D74996" w:rsidP="00395FED">
            <w:pPr>
              <w:rPr>
                <w:lang w:val="en-US"/>
              </w:rPr>
            </w:pPr>
            <w:r>
              <w:rPr>
                <w:lang w:val="en-US"/>
              </w:rPr>
              <w:t>0.</w:t>
            </w:r>
            <w:r w:rsidR="00DF77B9">
              <w:rPr>
                <w:lang w:val="en-US"/>
              </w:rPr>
              <w:t>4135</w:t>
            </w:r>
          </w:p>
        </w:tc>
        <w:tc>
          <w:tcPr>
            <w:tcW w:w="2353" w:type="dxa"/>
          </w:tcPr>
          <w:p w14:paraId="0B4CF22B" w14:textId="6487A2F0" w:rsidR="00682E45" w:rsidRDefault="00BD2BF5" w:rsidP="00395FED">
            <w:pPr>
              <w:rPr>
                <w:lang w:val="en-US"/>
              </w:rPr>
            </w:pPr>
            <w:r>
              <w:rPr>
                <w:lang w:val="en-US"/>
              </w:rPr>
              <w:t>0.</w:t>
            </w:r>
            <w:r w:rsidR="009C7857">
              <w:rPr>
                <w:lang w:val="en-US"/>
              </w:rPr>
              <w:t>6901</w:t>
            </w:r>
          </w:p>
        </w:tc>
      </w:tr>
      <w:tr w:rsidR="00682E45" w14:paraId="02EA0A99" w14:textId="77777777" w:rsidTr="00395FED">
        <w:tc>
          <w:tcPr>
            <w:tcW w:w="2477" w:type="dxa"/>
          </w:tcPr>
          <w:p w14:paraId="04D920C9" w14:textId="77777777" w:rsidR="00682E45" w:rsidRDefault="00682E45" w:rsidP="00395FED">
            <w:pPr>
              <w:rPr>
                <w:lang w:val="en-US"/>
              </w:rPr>
            </w:pPr>
            <w:r>
              <w:rPr>
                <w:lang w:val="en-US"/>
              </w:rPr>
              <w:t>Information Ratio</w:t>
            </w:r>
          </w:p>
        </w:tc>
        <w:tc>
          <w:tcPr>
            <w:tcW w:w="2455" w:type="dxa"/>
          </w:tcPr>
          <w:p w14:paraId="18CB5FFE" w14:textId="3D22FBCF" w:rsidR="00682E45" w:rsidRDefault="00682E45" w:rsidP="00395FED">
            <w:pPr>
              <w:rPr>
                <w:lang w:val="en-US"/>
              </w:rPr>
            </w:pPr>
            <w:r>
              <w:rPr>
                <w:lang w:val="en-US"/>
              </w:rPr>
              <w:t>0.</w:t>
            </w:r>
            <w:r w:rsidR="000F4F6D">
              <w:rPr>
                <w:lang w:val="en-US"/>
              </w:rPr>
              <w:t>1335</w:t>
            </w:r>
          </w:p>
        </w:tc>
        <w:tc>
          <w:tcPr>
            <w:tcW w:w="2353" w:type="dxa"/>
          </w:tcPr>
          <w:p w14:paraId="4D2E43C0" w14:textId="5B8752E8" w:rsidR="00682E45" w:rsidRDefault="00BD2BF5" w:rsidP="00395FED">
            <w:pPr>
              <w:rPr>
                <w:lang w:val="en-US"/>
              </w:rPr>
            </w:pPr>
            <w:r>
              <w:rPr>
                <w:lang w:val="en-US"/>
              </w:rPr>
              <w:t>0.1</w:t>
            </w:r>
            <w:r w:rsidR="00F95F49">
              <w:rPr>
                <w:lang w:val="en-US"/>
              </w:rPr>
              <w:t>102</w:t>
            </w:r>
          </w:p>
        </w:tc>
      </w:tr>
      <w:tr w:rsidR="00682E45" w14:paraId="572078CB" w14:textId="77777777" w:rsidTr="00395FED">
        <w:tc>
          <w:tcPr>
            <w:tcW w:w="2477" w:type="dxa"/>
          </w:tcPr>
          <w:p w14:paraId="67A54DFF" w14:textId="77777777" w:rsidR="00682E45" w:rsidRDefault="00682E45" w:rsidP="00395FED">
            <w:pPr>
              <w:rPr>
                <w:lang w:val="en-US"/>
              </w:rPr>
            </w:pPr>
            <w:r>
              <w:rPr>
                <w:lang w:val="en-US"/>
              </w:rPr>
              <w:t>Maximize Drawback</w:t>
            </w:r>
          </w:p>
        </w:tc>
        <w:tc>
          <w:tcPr>
            <w:tcW w:w="2455" w:type="dxa"/>
          </w:tcPr>
          <w:p w14:paraId="4BAE153E" w14:textId="7A90EBD9" w:rsidR="00682E45" w:rsidRDefault="005C7ADE" w:rsidP="00395FED">
            <w:pPr>
              <w:rPr>
                <w:lang w:val="en-US"/>
              </w:rPr>
            </w:pPr>
            <w:r>
              <w:rPr>
                <w:lang w:val="en-US"/>
              </w:rPr>
              <w:t>-4</w:t>
            </w:r>
            <w:r w:rsidR="00AA7490">
              <w:rPr>
                <w:lang w:val="en-US"/>
              </w:rPr>
              <w:t>2</w:t>
            </w:r>
            <w:r>
              <w:rPr>
                <w:lang w:val="en-US"/>
              </w:rPr>
              <w:t>.</w:t>
            </w:r>
            <w:r w:rsidR="00AA7490">
              <w:rPr>
                <w:lang w:val="en-US"/>
              </w:rPr>
              <w:t>40</w:t>
            </w:r>
            <w:r>
              <w:rPr>
                <w:lang w:val="en-US"/>
              </w:rPr>
              <w:t>%</w:t>
            </w:r>
          </w:p>
        </w:tc>
        <w:tc>
          <w:tcPr>
            <w:tcW w:w="2353" w:type="dxa"/>
          </w:tcPr>
          <w:p w14:paraId="7071C1B0" w14:textId="00D4D506" w:rsidR="00682E45" w:rsidRDefault="002A198F" w:rsidP="00395FED">
            <w:pPr>
              <w:rPr>
                <w:lang w:val="en-US"/>
              </w:rPr>
            </w:pPr>
            <w:r>
              <w:rPr>
                <w:lang w:val="en-US"/>
              </w:rPr>
              <w:t>-4</w:t>
            </w:r>
            <w:r w:rsidR="0069162F">
              <w:rPr>
                <w:lang w:val="en-US"/>
              </w:rPr>
              <w:t>2</w:t>
            </w:r>
            <w:r>
              <w:rPr>
                <w:lang w:val="en-US"/>
              </w:rPr>
              <w:t>.</w:t>
            </w:r>
            <w:r w:rsidR="009B1C38">
              <w:rPr>
                <w:lang w:val="en-US"/>
              </w:rPr>
              <w:t>40</w:t>
            </w:r>
            <w:r>
              <w:rPr>
                <w:lang w:val="en-US"/>
              </w:rPr>
              <w:t>%</w:t>
            </w:r>
          </w:p>
        </w:tc>
      </w:tr>
    </w:tbl>
    <w:p w14:paraId="5D2B6558" w14:textId="3A56CA39" w:rsidR="00B135D4" w:rsidRDefault="00B135D4" w:rsidP="009004F1">
      <w:pPr>
        <w:rPr>
          <w:b/>
          <w:bCs/>
          <w:lang w:val="en-US"/>
        </w:rPr>
      </w:pPr>
    </w:p>
    <w:p w14:paraId="3F534057" w14:textId="3A2B42C3" w:rsidR="004B5356" w:rsidRDefault="004B5356" w:rsidP="004B5356">
      <w:pPr>
        <w:rPr>
          <w:lang w:val="en-US"/>
        </w:rPr>
      </w:pPr>
      <w:r>
        <w:rPr>
          <w:lang w:val="en-US"/>
        </w:rPr>
        <w:t xml:space="preserve">The value comparison between </w:t>
      </w:r>
      <w:r w:rsidR="008A335C">
        <w:rPr>
          <w:lang w:val="en-US"/>
        </w:rPr>
        <w:t>2 s</w:t>
      </w:r>
      <w:r>
        <w:rPr>
          <w:lang w:val="en-US"/>
        </w:rPr>
        <w:t>trateg</w:t>
      </w:r>
      <w:r w:rsidR="008A335C">
        <w:rPr>
          <w:lang w:val="en-US"/>
        </w:rPr>
        <w:t>ies</w:t>
      </w:r>
      <w:r>
        <w:rPr>
          <w:lang w:val="en-US"/>
        </w:rPr>
        <w:t xml:space="preserve"> and buy-and-hold strategy.</w:t>
      </w:r>
    </w:p>
    <w:p w14:paraId="654CE7ED" w14:textId="37DB359E" w:rsidR="00561058" w:rsidRDefault="006B3896" w:rsidP="00561058">
      <w:r w:rsidRPr="006B3896">
        <w:rPr>
          <w:noProof/>
        </w:rPr>
        <w:drawing>
          <wp:inline distT="0" distB="0" distL="0" distR="0" wp14:anchorId="5E7D3850" wp14:editId="6D0714A1">
            <wp:extent cx="2332355" cy="1644015"/>
            <wp:effectExtent l="0" t="0" r="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32355" cy="1644015"/>
                    </a:xfrm>
                    <a:prstGeom prst="rect">
                      <a:avLst/>
                    </a:prstGeom>
                    <a:noFill/>
                    <a:ln>
                      <a:noFill/>
                    </a:ln>
                  </pic:spPr>
                </pic:pic>
              </a:graphicData>
            </a:graphic>
          </wp:inline>
        </w:drawing>
      </w:r>
    </w:p>
    <w:p w14:paraId="73F3A321" w14:textId="5110F8D6" w:rsidR="004B5356" w:rsidRDefault="004B5356" w:rsidP="004B5356"/>
    <w:p w14:paraId="2E98D0F6" w14:textId="6FE6ABC5" w:rsidR="007A630A" w:rsidRPr="00923866" w:rsidRDefault="00F74E22" w:rsidP="009004F1">
      <w:pPr>
        <w:rPr>
          <w:lang w:val="en-US"/>
        </w:rPr>
      </w:pPr>
      <w:r>
        <w:rPr>
          <w:lang w:val="en-US"/>
        </w:rPr>
        <w:t>T</w:t>
      </w:r>
      <w:r w:rsidR="004A2A9D">
        <w:rPr>
          <w:lang w:val="en-US"/>
        </w:rPr>
        <w:t xml:space="preserve">his stock has a higher volatility and </w:t>
      </w:r>
      <w:r w:rsidR="003A6D9E">
        <w:rPr>
          <w:lang w:val="en-US"/>
        </w:rPr>
        <w:t xml:space="preserve">the price is </w:t>
      </w:r>
      <w:r w:rsidR="003B18B3">
        <w:rPr>
          <w:lang w:val="en-US"/>
        </w:rPr>
        <w:t>fluctuating</w:t>
      </w:r>
      <w:r w:rsidR="004A2A9D">
        <w:rPr>
          <w:lang w:val="en-US"/>
        </w:rPr>
        <w:t xml:space="preserve">. </w:t>
      </w:r>
      <w:r w:rsidR="00923866" w:rsidRPr="00923866">
        <w:rPr>
          <w:lang w:val="en-US"/>
        </w:rPr>
        <w:t>Under</w:t>
      </w:r>
      <w:r w:rsidR="00923866">
        <w:rPr>
          <w:lang w:val="en-US"/>
        </w:rPr>
        <w:t xml:space="preserve"> turbulent scenario, the </w:t>
      </w:r>
      <w:r w:rsidR="002A2364">
        <w:rPr>
          <w:lang w:val="en-US"/>
        </w:rPr>
        <w:t>sigma threshold</w:t>
      </w:r>
      <w:r w:rsidR="00697232">
        <w:rPr>
          <w:lang w:val="en-US"/>
        </w:rPr>
        <w:t xml:space="preserve"> perform</w:t>
      </w:r>
      <w:r w:rsidR="00952CD0">
        <w:rPr>
          <w:lang w:val="en-US"/>
        </w:rPr>
        <w:t>s</w:t>
      </w:r>
      <w:r w:rsidR="00697232">
        <w:rPr>
          <w:lang w:val="en-US"/>
        </w:rPr>
        <w:t xml:space="preserve"> better</w:t>
      </w:r>
      <w:r w:rsidR="00952CD0">
        <w:rPr>
          <w:lang w:val="en-US"/>
        </w:rPr>
        <w:t xml:space="preserve"> than fixed threshold</w:t>
      </w:r>
      <w:r w:rsidR="00697232">
        <w:rPr>
          <w:lang w:val="en-US"/>
        </w:rPr>
        <w:t xml:space="preserve">, </w:t>
      </w:r>
      <w:r w:rsidR="00310F17">
        <w:rPr>
          <w:lang w:val="en-US"/>
        </w:rPr>
        <w:t xml:space="preserve">with </w:t>
      </w:r>
      <w:r w:rsidR="00BF107E">
        <w:rPr>
          <w:lang w:val="en-US"/>
        </w:rPr>
        <w:t>higher tracking error and higher information ratio</w:t>
      </w:r>
      <w:r w:rsidR="0013451A">
        <w:rPr>
          <w:lang w:val="en-US"/>
        </w:rPr>
        <w:t>.</w:t>
      </w:r>
      <w:r w:rsidR="00FF11BC">
        <w:rPr>
          <w:lang w:val="en-US"/>
        </w:rPr>
        <w:t xml:space="preserve"> </w:t>
      </w:r>
      <w:r w:rsidR="0013451A">
        <w:rPr>
          <w:lang w:val="en-US"/>
        </w:rPr>
        <w:t>T</w:t>
      </w:r>
      <w:r w:rsidR="00697232">
        <w:rPr>
          <w:lang w:val="en-US"/>
        </w:rPr>
        <w:t xml:space="preserve">his is </w:t>
      </w:r>
      <w:r w:rsidR="0098435C">
        <w:rPr>
          <w:lang w:val="en-US"/>
        </w:rPr>
        <w:t>also fit</w:t>
      </w:r>
      <w:r w:rsidR="00476386">
        <w:rPr>
          <w:lang w:val="en-US"/>
        </w:rPr>
        <w:t xml:space="preserve"> to</w:t>
      </w:r>
      <w:r w:rsidR="0098435C">
        <w:rPr>
          <w:lang w:val="en-US"/>
        </w:rPr>
        <w:t xml:space="preserve"> our expectation.</w:t>
      </w:r>
      <w:r w:rsidR="007764C4">
        <w:rPr>
          <w:lang w:val="en-US"/>
        </w:rPr>
        <w:t xml:space="preserve"> </w:t>
      </w:r>
    </w:p>
    <w:sectPr w:rsidR="007A630A" w:rsidRPr="009238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1936BC"/>
    <w:multiLevelType w:val="hybridMultilevel"/>
    <w:tmpl w:val="EF981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481E9F"/>
    <w:multiLevelType w:val="hybridMultilevel"/>
    <w:tmpl w:val="EF981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9F1"/>
    <w:rsid w:val="00006916"/>
    <w:rsid w:val="00007231"/>
    <w:rsid w:val="00010DF1"/>
    <w:rsid w:val="0002281C"/>
    <w:rsid w:val="00023CD1"/>
    <w:rsid w:val="00024B57"/>
    <w:rsid w:val="00025DA2"/>
    <w:rsid w:val="00032659"/>
    <w:rsid w:val="00033A48"/>
    <w:rsid w:val="00035FA5"/>
    <w:rsid w:val="0004598D"/>
    <w:rsid w:val="00045A4F"/>
    <w:rsid w:val="00054E00"/>
    <w:rsid w:val="00057E69"/>
    <w:rsid w:val="00060A08"/>
    <w:rsid w:val="00062803"/>
    <w:rsid w:val="000664F8"/>
    <w:rsid w:val="00070123"/>
    <w:rsid w:val="00071ACC"/>
    <w:rsid w:val="00084CE7"/>
    <w:rsid w:val="00084DDE"/>
    <w:rsid w:val="000863F8"/>
    <w:rsid w:val="00091E2B"/>
    <w:rsid w:val="000953F8"/>
    <w:rsid w:val="00095A94"/>
    <w:rsid w:val="00095B3A"/>
    <w:rsid w:val="00095FD7"/>
    <w:rsid w:val="00097829"/>
    <w:rsid w:val="00097ECB"/>
    <w:rsid w:val="000A1BFC"/>
    <w:rsid w:val="000B10C4"/>
    <w:rsid w:val="000B4E5D"/>
    <w:rsid w:val="000C0ED3"/>
    <w:rsid w:val="000C291A"/>
    <w:rsid w:val="000C576E"/>
    <w:rsid w:val="000C684F"/>
    <w:rsid w:val="000D2F9F"/>
    <w:rsid w:val="000D7F55"/>
    <w:rsid w:val="000E018E"/>
    <w:rsid w:val="000E079A"/>
    <w:rsid w:val="000E2511"/>
    <w:rsid w:val="000E5173"/>
    <w:rsid w:val="000F1AF2"/>
    <w:rsid w:val="000F4F6D"/>
    <w:rsid w:val="000F6D48"/>
    <w:rsid w:val="00103FC1"/>
    <w:rsid w:val="0010455D"/>
    <w:rsid w:val="001073BB"/>
    <w:rsid w:val="0011774E"/>
    <w:rsid w:val="00130800"/>
    <w:rsid w:val="0013451A"/>
    <w:rsid w:val="001356C6"/>
    <w:rsid w:val="0013669A"/>
    <w:rsid w:val="00136F31"/>
    <w:rsid w:val="001412F9"/>
    <w:rsid w:val="00143C6C"/>
    <w:rsid w:val="0014568A"/>
    <w:rsid w:val="00154BE5"/>
    <w:rsid w:val="0015529F"/>
    <w:rsid w:val="00160535"/>
    <w:rsid w:val="001643F1"/>
    <w:rsid w:val="001650D9"/>
    <w:rsid w:val="00170608"/>
    <w:rsid w:val="00185368"/>
    <w:rsid w:val="0019624C"/>
    <w:rsid w:val="001963A2"/>
    <w:rsid w:val="001A25C2"/>
    <w:rsid w:val="001A5527"/>
    <w:rsid w:val="001B6742"/>
    <w:rsid w:val="001D6216"/>
    <w:rsid w:val="001D7AB4"/>
    <w:rsid w:val="001E26DE"/>
    <w:rsid w:val="001E409A"/>
    <w:rsid w:val="001E6557"/>
    <w:rsid w:val="001F4820"/>
    <w:rsid w:val="00201B18"/>
    <w:rsid w:val="002049C6"/>
    <w:rsid w:val="00217954"/>
    <w:rsid w:val="00223C51"/>
    <w:rsid w:val="00223F37"/>
    <w:rsid w:val="002256E4"/>
    <w:rsid w:val="00226729"/>
    <w:rsid w:val="00237430"/>
    <w:rsid w:val="00241E01"/>
    <w:rsid w:val="0024637A"/>
    <w:rsid w:val="0024768A"/>
    <w:rsid w:val="002670CE"/>
    <w:rsid w:val="002672B0"/>
    <w:rsid w:val="00271329"/>
    <w:rsid w:val="0027478B"/>
    <w:rsid w:val="00274D88"/>
    <w:rsid w:val="00282BCA"/>
    <w:rsid w:val="0028598A"/>
    <w:rsid w:val="00286407"/>
    <w:rsid w:val="00290BA1"/>
    <w:rsid w:val="00291CC8"/>
    <w:rsid w:val="002A0647"/>
    <w:rsid w:val="002A1442"/>
    <w:rsid w:val="002A198F"/>
    <w:rsid w:val="002A2364"/>
    <w:rsid w:val="002A2EC6"/>
    <w:rsid w:val="002A4307"/>
    <w:rsid w:val="002A45B1"/>
    <w:rsid w:val="002B6365"/>
    <w:rsid w:val="002C3019"/>
    <w:rsid w:val="002C6F29"/>
    <w:rsid w:val="002D2257"/>
    <w:rsid w:val="002E02C5"/>
    <w:rsid w:val="002E0D88"/>
    <w:rsid w:val="002E1C08"/>
    <w:rsid w:val="002E7440"/>
    <w:rsid w:val="002E7F94"/>
    <w:rsid w:val="002F0B25"/>
    <w:rsid w:val="002F1E7C"/>
    <w:rsid w:val="002F7362"/>
    <w:rsid w:val="003065D8"/>
    <w:rsid w:val="00310F17"/>
    <w:rsid w:val="0031137A"/>
    <w:rsid w:val="00315008"/>
    <w:rsid w:val="0031775E"/>
    <w:rsid w:val="00324436"/>
    <w:rsid w:val="00327D40"/>
    <w:rsid w:val="00334D15"/>
    <w:rsid w:val="00335B7D"/>
    <w:rsid w:val="003368D6"/>
    <w:rsid w:val="00354510"/>
    <w:rsid w:val="00360F38"/>
    <w:rsid w:val="003618BD"/>
    <w:rsid w:val="003628C5"/>
    <w:rsid w:val="00367219"/>
    <w:rsid w:val="003701FC"/>
    <w:rsid w:val="00372186"/>
    <w:rsid w:val="00384F3D"/>
    <w:rsid w:val="00386307"/>
    <w:rsid w:val="00390FF7"/>
    <w:rsid w:val="00394DEA"/>
    <w:rsid w:val="00397749"/>
    <w:rsid w:val="003A6D9E"/>
    <w:rsid w:val="003A71F7"/>
    <w:rsid w:val="003B18B3"/>
    <w:rsid w:val="003B364F"/>
    <w:rsid w:val="003B3A73"/>
    <w:rsid w:val="003C40DF"/>
    <w:rsid w:val="003C4A5D"/>
    <w:rsid w:val="003C5544"/>
    <w:rsid w:val="003C5779"/>
    <w:rsid w:val="003C658E"/>
    <w:rsid w:val="003C76C9"/>
    <w:rsid w:val="003D5376"/>
    <w:rsid w:val="003D61F6"/>
    <w:rsid w:val="003E34A5"/>
    <w:rsid w:val="003F206A"/>
    <w:rsid w:val="004032CD"/>
    <w:rsid w:val="004034F5"/>
    <w:rsid w:val="00403756"/>
    <w:rsid w:val="00405EC0"/>
    <w:rsid w:val="00417DF5"/>
    <w:rsid w:val="00423F31"/>
    <w:rsid w:val="00425D7E"/>
    <w:rsid w:val="0042753F"/>
    <w:rsid w:val="00432D18"/>
    <w:rsid w:val="0043352D"/>
    <w:rsid w:val="004364A9"/>
    <w:rsid w:val="004379FB"/>
    <w:rsid w:val="00442863"/>
    <w:rsid w:val="00445AF5"/>
    <w:rsid w:val="00451632"/>
    <w:rsid w:val="004567A3"/>
    <w:rsid w:val="0045749E"/>
    <w:rsid w:val="00462746"/>
    <w:rsid w:val="0046790C"/>
    <w:rsid w:val="00471CA9"/>
    <w:rsid w:val="00473FD2"/>
    <w:rsid w:val="004758F6"/>
    <w:rsid w:val="00475C99"/>
    <w:rsid w:val="00476386"/>
    <w:rsid w:val="0049091C"/>
    <w:rsid w:val="004A2A9D"/>
    <w:rsid w:val="004A337D"/>
    <w:rsid w:val="004A4925"/>
    <w:rsid w:val="004B5356"/>
    <w:rsid w:val="004B537D"/>
    <w:rsid w:val="004C0A6F"/>
    <w:rsid w:val="004C7309"/>
    <w:rsid w:val="004D1937"/>
    <w:rsid w:val="004D29F6"/>
    <w:rsid w:val="004D3FA7"/>
    <w:rsid w:val="004D3FF7"/>
    <w:rsid w:val="004D5983"/>
    <w:rsid w:val="004E292E"/>
    <w:rsid w:val="004E3D80"/>
    <w:rsid w:val="004F4B23"/>
    <w:rsid w:val="0050015D"/>
    <w:rsid w:val="0050116A"/>
    <w:rsid w:val="00504519"/>
    <w:rsid w:val="00513F77"/>
    <w:rsid w:val="00531598"/>
    <w:rsid w:val="005357F9"/>
    <w:rsid w:val="00547D6F"/>
    <w:rsid w:val="00553B34"/>
    <w:rsid w:val="00561058"/>
    <w:rsid w:val="005625DB"/>
    <w:rsid w:val="00563C2B"/>
    <w:rsid w:val="005801D6"/>
    <w:rsid w:val="005868C1"/>
    <w:rsid w:val="00590BC9"/>
    <w:rsid w:val="00593693"/>
    <w:rsid w:val="005975A6"/>
    <w:rsid w:val="005A17FA"/>
    <w:rsid w:val="005A1A78"/>
    <w:rsid w:val="005A7084"/>
    <w:rsid w:val="005B0003"/>
    <w:rsid w:val="005B06F2"/>
    <w:rsid w:val="005B42F1"/>
    <w:rsid w:val="005C054A"/>
    <w:rsid w:val="005C7ADE"/>
    <w:rsid w:val="005D6709"/>
    <w:rsid w:val="005E081A"/>
    <w:rsid w:val="005E2845"/>
    <w:rsid w:val="005F0085"/>
    <w:rsid w:val="005F3E59"/>
    <w:rsid w:val="005F5585"/>
    <w:rsid w:val="006009B6"/>
    <w:rsid w:val="006021BA"/>
    <w:rsid w:val="0060264D"/>
    <w:rsid w:val="00607504"/>
    <w:rsid w:val="00610EAB"/>
    <w:rsid w:val="0061383D"/>
    <w:rsid w:val="00616945"/>
    <w:rsid w:val="006206A3"/>
    <w:rsid w:val="006238AF"/>
    <w:rsid w:val="00625990"/>
    <w:rsid w:val="0063565B"/>
    <w:rsid w:val="00640CB7"/>
    <w:rsid w:val="00643B5B"/>
    <w:rsid w:val="00646FA7"/>
    <w:rsid w:val="0064773B"/>
    <w:rsid w:val="006520D5"/>
    <w:rsid w:val="00654FFE"/>
    <w:rsid w:val="006568AD"/>
    <w:rsid w:val="0065710F"/>
    <w:rsid w:val="00657209"/>
    <w:rsid w:val="00671C41"/>
    <w:rsid w:val="00672C83"/>
    <w:rsid w:val="006776DF"/>
    <w:rsid w:val="00682E45"/>
    <w:rsid w:val="0069162F"/>
    <w:rsid w:val="00696432"/>
    <w:rsid w:val="00696DAF"/>
    <w:rsid w:val="00697232"/>
    <w:rsid w:val="006A10BA"/>
    <w:rsid w:val="006A71DC"/>
    <w:rsid w:val="006B0260"/>
    <w:rsid w:val="006B3896"/>
    <w:rsid w:val="006B4B1F"/>
    <w:rsid w:val="006C058E"/>
    <w:rsid w:val="006C1A56"/>
    <w:rsid w:val="006C62D0"/>
    <w:rsid w:val="006C733F"/>
    <w:rsid w:val="006D5152"/>
    <w:rsid w:val="006D7EA6"/>
    <w:rsid w:val="006E242D"/>
    <w:rsid w:val="006E2937"/>
    <w:rsid w:val="006F0A1A"/>
    <w:rsid w:val="006F1C72"/>
    <w:rsid w:val="006F24D4"/>
    <w:rsid w:val="006F6EFC"/>
    <w:rsid w:val="006F7DD2"/>
    <w:rsid w:val="0070452B"/>
    <w:rsid w:val="00704992"/>
    <w:rsid w:val="0071479C"/>
    <w:rsid w:val="007160BB"/>
    <w:rsid w:val="007176BC"/>
    <w:rsid w:val="0071783C"/>
    <w:rsid w:val="007214BC"/>
    <w:rsid w:val="0072222B"/>
    <w:rsid w:val="0072685C"/>
    <w:rsid w:val="00731557"/>
    <w:rsid w:val="0073255C"/>
    <w:rsid w:val="00745DE0"/>
    <w:rsid w:val="007539D7"/>
    <w:rsid w:val="007552B2"/>
    <w:rsid w:val="0076148C"/>
    <w:rsid w:val="00763B08"/>
    <w:rsid w:val="00771582"/>
    <w:rsid w:val="007764C4"/>
    <w:rsid w:val="00781268"/>
    <w:rsid w:val="00784B93"/>
    <w:rsid w:val="00795F67"/>
    <w:rsid w:val="007A0477"/>
    <w:rsid w:val="007A05C1"/>
    <w:rsid w:val="007A1A38"/>
    <w:rsid w:val="007A630A"/>
    <w:rsid w:val="007B5CD5"/>
    <w:rsid w:val="007C081C"/>
    <w:rsid w:val="007C600E"/>
    <w:rsid w:val="007C7FCD"/>
    <w:rsid w:val="007D37D4"/>
    <w:rsid w:val="007E2C89"/>
    <w:rsid w:val="007E4C36"/>
    <w:rsid w:val="007E643B"/>
    <w:rsid w:val="007E6F88"/>
    <w:rsid w:val="007F5CD2"/>
    <w:rsid w:val="007F7076"/>
    <w:rsid w:val="0080564E"/>
    <w:rsid w:val="0081121D"/>
    <w:rsid w:val="0081772F"/>
    <w:rsid w:val="00817C64"/>
    <w:rsid w:val="00821D59"/>
    <w:rsid w:val="00824FA9"/>
    <w:rsid w:val="00835283"/>
    <w:rsid w:val="008422A5"/>
    <w:rsid w:val="0084401B"/>
    <w:rsid w:val="00844B22"/>
    <w:rsid w:val="00844EE8"/>
    <w:rsid w:val="00851498"/>
    <w:rsid w:val="008515CC"/>
    <w:rsid w:val="00857449"/>
    <w:rsid w:val="00857C6C"/>
    <w:rsid w:val="008644E3"/>
    <w:rsid w:val="008655CE"/>
    <w:rsid w:val="00881869"/>
    <w:rsid w:val="00886824"/>
    <w:rsid w:val="00886ADE"/>
    <w:rsid w:val="0089182F"/>
    <w:rsid w:val="008A335C"/>
    <w:rsid w:val="008A3F69"/>
    <w:rsid w:val="008B01BA"/>
    <w:rsid w:val="008B042E"/>
    <w:rsid w:val="008B3BD4"/>
    <w:rsid w:val="008B4211"/>
    <w:rsid w:val="008B49AE"/>
    <w:rsid w:val="008B5693"/>
    <w:rsid w:val="008B572C"/>
    <w:rsid w:val="008C10BB"/>
    <w:rsid w:val="008C2242"/>
    <w:rsid w:val="008D36D4"/>
    <w:rsid w:val="008E10D9"/>
    <w:rsid w:val="008E7642"/>
    <w:rsid w:val="008F4D89"/>
    <w:rsid w:val="008F4FE0"/>
    <w:rsid w:val="009004F1"/>
    <w:rsid w:val="00911E62"/>
    <w:rsid w:val="00912979"/>
    <w:rsid w:val="00915A5E"/>
    <w:rsid w:val="009225C0"/>
    <w:rsid w:val="00923814"/>
    <w:rsid w:val="00923866"/>
    <w:rsid w:val="00923936"/>
    <w:rsid w:val="009379C4"/>
    <w:rsid w:val="00952CD0"/>
    <w:rsid w:val="00962610"/>
    <w:rsid w:val="00974F32"/>
    <w:rsid w:val="0097603C"/>
    <w:rsid w:val="009772F0"/>
    <w:rsid w:val="009828AD"/>
    <w:rsid w:val="00983249"/>
    <w:rsid w:val="00983C93"/>
    <w:rsid w:val="0098435C"/>
    <w:rsid w:val="009877C2"/>
    <w:rsid w:val="0099438B"/>
    <w:rsid w:val="0099736B"/>
    <w:rsid w:val="009A1222"/>
    <w:rsid w:val="009A1A15"/>
    <w:rsid w:val="009A4782"/>
    <w:rsid w:val="009A576B"/>
    <w:rsid w:val="009B1347"/>
    <w:rsid w:val="009B1C38"/>
    <w:rsid w:val="009B3847"/>
    <w:rsid w:val="009B72D5"/>
    <w:rsid w:val="009C4E72"/>
    <w:rsid w:val="009C5B03"/>
    <w:rsid w:val="009C6C2C"/>
    <w:rsid w:val="009C7857"/>
    <w:rsid w:val="009E5410"/>
    <w:rsid w:val="009E690C"/>
    <w:rsid w:val="009E794F"/>
    <w:rsid w:val="009E7B35"/>
    <w:rsid w:val="009F1451"/>
    <w:rsid w:val="00A00ADF"/>
    <w:rsid w:val="00A05259"/>
    <w:rsid w:val="00A05D27"/>
    <w:rsid w:val="00A05D38"/>
    <w:rsid w:val="00A13A81"/>
    <w:rsid w:val="00A153A4"/>
    <w:rsid w:val="00A15A46"/>
    <w:rsid w:val="00A414B2"/>
    <w:rsid w:val="00A44402"/>
    <w:rsid w:val="00A52A88"/>
    <w:rsid w:val="00A547A3"/>
    <w:rsid w:val="00A55860"/>
    <w:rsid w:val="00A603C3"/>
    <w:rsid w:val="00A71AC8"/>
    <w:rsid w:val="00A720D7"/>
    <w:rsid w:val="00A810DF"/>
    <w:rsid w:val="00A912BF"/>
    <w:rsid w:val="00A95F34"/>
    <w:rsid w:val="00A963E2"/>
    <w:rsid w:val="00AA29FA"/>
    <w:rsid w:val="00AA659F"/>
    <w:rsid w:val="00AA7490"/>
    <w:rsid w:val="00AB2D52"/>
    <w:rsid w:val="00AB37E7"/>
    <w:rsid w:val="00AD7677"/>
    <w:rsid w:val="00AE4F65"/>
    <w:rsid w:val="00AF3202"/>
    <w:rsid w:val="00AF4DFC"/>
    <w:rsid w:val="00AF7865"/>
    <w:rsid w:val="00B05AE3"/>
    <w:rsid w:val="00B135D4"/>
    <w:rsid w:val="00B1537A"/>
    <w:rsid w:val="00B222EB"/>
    <w:rsid w:val="00B22755"/>
    <w:rsid w:val="00B23E80"/>
    <w:rsid w:val="00B36205"/>
    <w:rsid w:val="00B45FE5"/>
    <w:rsid w:val="00B53B9B"/>
    <w:rsid w:val="00B54EC8"/>
    <w:rsid w:val="00B60E9D"/>
    <w:rsid w:val="00B661F4"/>
    <w:rsid w:val="00B74509"/>
    <w:rsid w:val="00B8361F"/>
    <w:rsid w:val="00B861BB"/>
    <w:rsid w:val="00B86819"/>
    <w:rsid w:val="00B9230B"/>
    <w:rsid w:val="00BB119F"/>
    <w:rsid w:val="00BB2966"/>
    <w:rsid w:val="00BB32FF"/>
    <w:rsid w:val="00BB4613"/>
    <w:rsid w:val="00BB5B56"/>
    <w:rsid w:val="00BC0481"/>
    <w:rsid w:val="00BC0565"/>
    <w:rsid w:val="00BC60DD"/>
    <w:rsid w:val="00BD2576"/>
    <w:rsid w:val="00BD2BF5"/>
    <w:rsid w:val="00BD30A3"/>
    <w:rsid w:val="00BE1880"/>
    <w:rsid w:val="00BF107E"/>
    <w:rsid w:val="00BF2A6A"/>
    <w:rsid w:val="00C04A8F"/>
    <w:rsid w:val="00C050F6"/>
    <w:rsid w:val="00C14B06"/>
    <w:rsid w:val="00C30FC0"/>
    <w:rsid w:val="00C32BCD"/>
    <w:rsid w:val="00C36512"/>
    <w:rsid w:val="00C52E9D"/>
    <w:rsid w:val="00C5383A"/>
    <w:rsid w:val="00C56DBD"/>
    <w:rsid w:val="00C6379E"/>
    <w:rsid w:val="00C765FE"/>
    <w:rsid w:val="00C8602C"/>
    <w:rsid w:val="00C976ED"/>
    <w:rsid w:val="00C97E1C"/>
    <w:rsid w:val="00CA1FD9"/>
    <w:rsid w:val="00CA3A2E"/>
    <w:rsid w:val="00CA4E7D"/>
    <w:rsid w:val="00CA5529"/>
    <w:rsid w:val="00CB2AE4"/>
    <w:rsid w:val="00CB3CE0"/>
    <w:rsid w:val="00CB57BA"/>
    <w:rsid w:val="00CB5DFD"/>
    <w:rsid w:val="00CD4ECF"/>
    <w:rsid w:val="00CD593D"/>
    <w:rsid w:val="00CE4669"/>
    <w:rsid w:val="00CE7752"/>
    <w:rsid w:val="00D0681A"/>
    <w:rsid w:val="00D107BF"/>
    <w:rsid w:val="00D13246"/>
    <w:rsid w:val="00D13372"/>
    <w:rsid w:val="00D259F1"/>
    <w:rsid w:val="00D35F54"/>
    <w:rsid w:val="00D36E22"/>
    <w:rsid w:val="00D40A96"/>
    <w:rsid w:val="00D4478A"/>
    <w:rsid w:val="00D45082"/>
    <w:rsid w:val="00D50EEE"/>
    <w:rsid w:val="00D51BEB"/>
    <w:rsid w:val="00D54E10"/>
    <w:rsid w:val="00D6155F"/>
    <w:rsid w:val="00D67793"/>
    <w:rsid w:val="00D71345"/>
    <w:rsid w:val="00D72D5F"/>
    <w:rsid w:val="00D74996"/>
    <w:rsid w:val="00D74F54"/>
    <w:rsid w:val="00D81E28"/>
    <w:rsid w:val="00D906EF"/>
    <w:rsid w:val="00D9462C"/>
    <w:rsid w:val="00DC665A"/>
    <w:rsid w:val="00DD2183"/>
    <w:rsid w:val="00DD5C8C"/>
    <w:rsid w:val="00DE3682"/>
    <w:rsid w:val="00DE3F5D"/>
    <w:rsid w:val="00DE4DBF"/>
    <w:rsid w:val="00DF26CA"/>
    <w:rsid w:val="00DF77B9"/>
    <w:rsid w:val="00E04199"/>
    <w:rsid w:val="00E12DD3"/>
    <w:rsid w:val="00E23AF9"/>
    <w:rsid w:val="00E31778"/>
    <w:rsid w:val="00E33963"/>
    <w:rsid w:val="00E561FC"/>
    <w:rsid w:val="00E669B6"/>
    <w:rsid w:val="00E70A70"/>
    <w:rsid w:val="00E71ED1"/>
    <w:rsid w:val="00E828B2"/>
    <w:rsid w:val="00E90C1B"/>
    <w:rsid w:val="00E93AF1"/>
    <w:rsid w:val="00E95CE4"/>
    <w:rsid w:val="00E95F8E"/>
    <w:rsid w:val="00EA2BF0"/>
    <w:rsid w:val="00EA36A9"/>
    <w:rsid w:val="00EB5D3A"/>
    <w:rsid w:val="00EB75C6"/>
    <w:rsid w:val="00ED02A6"/>
    <w:rsid w:val="00ED338C"/>
    <w:rsid w:val="00ED39D8"/>
    <w:rsid w:val="00ED600A"/>
    <w:rsid w:val="00EE4234"/>
    <w:rsid w:val="00EE7B96"/>
    <w:rsid w:val="00EF6D13"/>
    <w:rsid w:val="00F040CD"/>
    <w:rsid w:val="00F12C64"/>
    <w:rsid w:val="00F14930"/>
    <w:rsid w:val="00F176E5"/>
    <w:rsid w:val="00F20E43"/>
    <w:rsid w:val="00F230C0"/>
    <w:rsid w:val="00F37F4A"/>
    <w:rsid w:val="00F46D76"/>
    <w:rsid w:val="00F51D3A"/>
    <w:rsid w:val="00F524B0"/>
    <w:rsid w:val="00F56B58"/>
    <w:rsid w:val="00F60831"/>
    <w:rsid w:val="00F626CA"/>
    <w:rsid w:val="00F62916"/>
    <w:rsid w:val="00F70787"/>
    <w:rsid w:val="00F73A5B"/>
    <w:rsid w:val="00F74E22"/>
    <w:rsid w:val="00F76EDB"/>
    <w:rsid w:val="00F776AC"/>
    <w:rsid w:val="00F82AE9"/>
    <w:rsid w:val="00F8695A"/>
    <w:rsid w:val="00F86DA3"/>
    <w:rsid w:val="00F91945"/>
    <w:rsid w:val="00F95F49"/>
    <w:rsid w:val="00F97D07"/>
    <w:rsid w:val="00FA2FC3"/>
    <w:rsid w:val="00FA3D01"/>
    <w:rsid w:val="00FA527A"/>
    <w:rsid w:val="00FB0416"/>
    <w:rsid w:val="00FB0B6F"/>
    <w:rsid w:val="00FB7C54"/>
    <w:rsid w:val="00FC7301"/>
    <w:rsid w:val="00FD0DA7"/>
    <w:rsid w:val="00FD3DA6"/>
    <w:rsid w:val="00FD4D1A"/>
    <w:rsid w:val="00FD4F01"/>
    <w:rsid w:val="00FE1EC4"/>
    <w:rsid w:val="00FE378A"/>
    <w:rsid w:val="00FE460D"/>
    <w:rsid w:val="00FE5C12"/>
    <w:rsid w:val="00FF11BC"/>
    <w:rsid w:val="00FF2C8A"/>
    <w:rsid w:val="00FF5008"/>
    <w:rsid w:val="00FF6E7F"/>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40DC1E2"/>
  <w15:chartTrackingRefBased/>
  <w15:docId w15:val="{3BBF7463-7758-3245-9B10-1398CAF76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0C1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83C93"/>
    <w:rPr>
      <w:color w:val="808080"/>
    </w:rPr>
  </w:style>
  <w:style w:type="table" w:styleId="TableGrid">
    <w:name w:val="Table Grid"/>
    <w:basedOn w:val="TableNormal"/>
    <w:uiPriority w:val="39"/>
    <w:rsid w:val="00091E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77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443094">
      <w:bodyDiv w:val="1"/>
      <w:marLeft w:val="0"/>
      <w:marRight w:val="0"/>
      <w:marTop w:val="0"/>
      <w:marBottom w:val="0"/>
      <w:divBdr>
        <w:top w:val="none" w:sz="0" w:space="0" w:color="auto"/>
        <w:left w:val="none" w:sz="0" w:space="0" w:color="auto"/>
        <w:bottom w:val="none" w:sz="0" w:space="0" w:color="auto"/>
        <w:right w:val="none" w:sz="0" w:space="0" w:color="auto"/>
      </w:divBdr>
    </w:div>
    <w:div w:id="101388631">
      <w:bodyDiv w:val="1"/>
      <w:marLeft w:val="0"/>
      <w:marRight w:val="0"/>
      <w:marTop w:val="0"/>
      <w:marBottom w:val="0"/>
      <w:divBdr>
        <w:top w:val="none" w:sz="0" w:space="0" w:color="auto"/>
        <w:left w:val="none" w:sz="0" w:space="0" w:color="auto"/>
        <w:bottom w:val="none" w:sz="0" w:space="0" w:color="auto"/>
        <w:right w:val="none" w:sz="0" w:space="0" w:color="auto"/>
      </w:divBdr>
    </w:div>
    <w:div w:id="131289202">
      <w:bodyDiv w:val="1"/>
      <w:marLeft w:val="0"/>
      <w:marRight w:val="0"/>
      <w:marTop w:val="0"/>
      <w:marBottom w:val="0"/>
      <w:divBdr>
        <w:top w:val="none" w:sz="0" w:space="0" w:color="auto"/>
        <w:left w:val="none" w:sz="0" w:space="0" w:color="auto"/>
        <w:bottom w:val="none" w:sz="0" w:space="0" w:color="auto"/>
        <w:right w:val="none" w:sz="0" w:space="0" w:color="auto"/>
      </w:divBdr>
    </w:div>
    <w:div w:id="149946981">
      <w:bodyDiv w:val="1"/>
      <w:marLeft w:val="0"/>
      <w:marRight w:val="0"/>
      <w:marTop w:val="0"/>
      <w:marBottom w:val="0"/>
      <w:divBdr>
        <w:top w:val="none" w:sz="0" w:space="0" w:color="auto"/>
        <w:left w:val="none" w:sz="0" w:space="0" w:color="auto"/>
        <w:bottom w:val="none" w:sz="0" w:space="0" w:color="auto"/>
        <w:right w:val="none" w:sz="0" w:space="0" w:color="auto"/>
      </w:divBdr>
    </w:div>
    <w:div w:id="172842941">
      <w:bodyDiv w:val="1"/>
      <w:marLeft w:val="0"/>
      <w:marRight w:val="0"/>
      <w:marTop w:val="0"/>
      <w:marBottom w:val="0"/>
      <w:divBdr>
        <w:top w:val="none" w:sz="0" w:space="0" w:color="auto"/>
        <w:left w:val="none" w:sz="0" w:space="0" w:color="auto"/>
        <w:bottom w:val="none" w:sz="0" w:space="0" w:color="auto"/>
        <w:right w:val="none" w:sz="0" w:space="0" w:color="auto"/>
      </w:divBdr>
    </w:div>
    <w:div w:id="542712951">
      <w:bodyDiv w:val="1"/>
      <w:marLeft w:val="0"/>
      <w:marRight w:val="0"/>
      <w:marTop w:val="0"/>
      <w:marBottom w:val="0"/>
      <w:divBdr>
        <w:top w:val="none" w:sz="0" w:space="0" w:color="auto"/>
        <w:left w:val="none" w:sz="0" w:space="0" w:color="auto"/>
        <w:bottom w:val="none" w:sz="0" w:space="0" w:color="auto"/>
        <w:right w:val="none" w:sz="0" w:space="0" w:color="auto"/>
      </w:divBdr>
    </w:div>
    <w:div w:id="592513142">
      <w:bodyDiv w:val="1"/>
      <w:marLeft w:val="0"/>
      <w:marRight w:val="0"/>
      <w:marTop w:val="0"/>
      <w:marBottom w:val="0"/>
      <w:divBdr>
        <w:top w:val="none" w:sz="0" w:space="0" w:color="auto"/>
        <w:left w:val="none" w:sz="0" w:space="0" w:color="auto"/>
        <w:bottom w:val="none" w:sz="0" w:space="0" w:color="auto"/>
        <w:right w:val="none" w:sz="0" w:space="0" w:color="auto"/>
      </w:divBdr>
    </w:div>
    <w:div w:id="846142354">
      <w:bodyDiv w:val="1"/>
      <w:marLeft w:val="0"/>
      <w:marRight w:val="0"/>
      <w:marTop w:val="0"/>
      <w:marBottom w:val="0"/>
      <w:divBdr>
        <w:top w:val="none" w:sz="0" w:space="0" w:color="auto"/>
        <w:left w:val="none" w:sz="0" w:space="0" w:color="auto"/>
        <w:bottom w:val="none" w:sz="0" w:space="0" w:color="auto"/>
        <w:right w:val="none" w:sz="0" w:space="0" w:color="auto"/>
      </w:divBdr>
    </w:div>
    <w:div w:id="870143836">
      <w:bodyDiv w:val="1"/>
      <w:marLeft w:val="0"/>
      <w:marRight w:val="0"/>
      <w:marTop w:val="0"/>
      <w:marBottom w:val="0"/>
      <w:divBdr>
        <w:top w:val="none" w:sz="0" w:space="0" w:color="auto"/>
        <w:left w:val="none" w:sz="0" w:space="0" w:color="auto"/>
        <w:bottom w:val="none" w:sz="0" w:space="0" w:color="auto"/>
        <w:right w:val="none" w:sz="0" w:space="0" w:color="auto"/>
      </w:divBdr>
    </w:div>
    <w:div w:id="1005666916">
      <w:bodyDiv w:val="1"/>
      <w:marLeft w:val="0"/>
      <w:marRight w:val="0"/>
      <w:marTop w:val="0"/>
      <w:marBottom w:val="0"/>
      <w:divBdr>
        <w:top w:val="none" w:sz="0" w:space="0" w:color="auto"/>
        <w:left w:val="none" w:sz="0" w:space="0" w:color="auto"/>
        <w:bottom w:val="none" w:sz="0" w:space="0" w:color="auto"/>
        <w:right w:val="none" w:sz="0" w:space="0" w:color="auto"/>
      </w:divBdr>
    </w:div>
    <w:div w:id="1014767489">
      <w:bodyDiv w:val="1"/>
      <w:marLeft w:val="0"/>
      <w:marRight w:val="0"/>
      <w:marTop w:val="0"/>
      <w:marBottom w:val="0"/>
      <w:divBdr>
        <w:top w:val="none" w:sz="0" w:space="0" w:color="auto"/>
        <w:left w:val="none" w:sz="0" w:space="0" w:color="auto"/>
        <w:bottom w:val="none" w:sz="0" w:space="0" w:color="auto"/>
        <w:right w:val="none" w:sz="0" w:space="0" w:color="auto"/>
      </w:divBdr>
    </w:div>
    <w:div w:id="1136072184">
      <w:bodyDiv w:val="1"/>
      <w:marLeft w:val="0"/>
      <w:marRight w:val="0"/>
      <w:marTop w:val="0"/>
      <w:marBottom w:val="0"/>
      <w:divBdr>
        <w:top w:val="none" w:sz="0" w:space="0" w:color="auto"/>
        <w:left w:val="none" w:sz="0" w:space="0" w:color="auto"/>
        <w:bottom w:val="none" w:sz="0" w:space="0" w:color="auto"/>
        <w:right w:val="none" w:sz="0" w:space="0" w:color="auto"/>
      </w:divBdr>
    </w:div>
    <w:div w:id="1225682969">
      <w:bodyDiv w:val="1"/>
      <w:marLeft w:val="0"/>
      <w:marRight w:val="0"/>
      <w:marTop w:val="0"/>
      <w:marBottom w:val="0"/>
      <w:divBdr>
        <w:top w:val="none" w:sz="0" w:space="0" w:color="auto"/>
        <w:left w:val="none" w:sz="0" w:space="0" w:color="auto"/>
        <w:bottom w:val="none" w:sz="0" w:space="0" w:color="auto"/>
        <w:right w:val="none" w:sz="0" w:space="0" w:color="auto"/>
      </w:divBdr>
    </w:div>
    <w:div w:id="1292981797">
      <w:bodyDiv w:val="1"/>
      <w:marLeft w:val="0"/>
      <w:marRight w:val="0"/>
      <w:marTop w:val="0"/>
      <w:marBottom w:val="0"/>
      <w:divBdr>
        <w:top w:val="none" w:sz="0" w:space="0" w:color="auto"/>
        <w:left w:val="none" w:sz="0" w:space="0" w:color="auto"/>
        <w:bottom w:val="none" w:sz="0" w:space="0" w:color="auto"/>
        <w:right w:val="none" w:sz="0" w:space="0" w:color="auto"/>
      </w:divBdr>
    </w:div>
    <w:div w:id="1519543814">
      <w:bodyDiv w:val="1"/>
      <w:marLeft w:val="0"/>
      <w:marRight w:val="0"/>
      <w:marTop w:val="0"/>
      <w:marBottom w:val="0"/>
      <w:divBdr>
        <w:top w:val="none" w:sz="0" w:space="0" w:color="auto"/>
        <w:left w:val="none" w:sz="0" w:space="0" w:color="auto"/>
        <w:bottom w:val="none" w:sz="0" w:space="0" w:color="auto"/>
        <w:right w:val="none" w:sz="0" w:space="0" w:color="auto"/>
      </w:divBdr>
    </w:div>
    <w:div w:id="1521774055">
      <w:bodyDiv w:val="1"/>
      <w:marLeft w:val="0"/>
      <w:marRight w:val="0"/>
      <w:marTop w:val="0"/>
      <w:marBottom w:val="0"/>
      <w:divBdr>
        <w:top w:val="none" w:sz="0" w:space="0" w:color="auto"/>
        <w:left w:val="none" w:sz="0" w:space="0" w:color="auto"/>
        <w:bottom w:val="none" w:sz="0" w:space="0" w:color="auto"/>
        <w:right w:val="none" w:sz="0" w:space="0" w:color="auto"/>
      </w:divBdr>
    </w:div>
    <w:div w:id="1719893640">
      <w:bodyDiv w:val="1"/>
      <w:marLeft w:val="0"/>
      <w:marRight w:val="0"/>
      <w:marTop w:val="0"/>
      <w:marBottom w:val="0"/>
      <w:divBdr>
        <w:top w:val="none" w:sz="0" w:space="0" w:color="auto"/>
        <w:left w:val="none" w:sz="0" w:space="0" w:color="auto"/>
        <w:bottom w:val="none" w:sz="0" w:space="0" w:color="auto"/>
        <w:right w:val="none" w:sz="0" w:space="0" w:color="auto"/>
      </w:divBdr>
    </w:div>
    <w:div w:id="1854488631">
      <w:bodyDiv w:val="1"/>
      <w:marLeft w:val="0"/>
      <w:marRight w:val="0"/>
      <w:marTop w:val="0"/>
      <w:marBottom w:val="0"/>
      <w:divBdr>
        <w:top w:val="none" w:sz="0" w:space="0" w:color="auto"/>
        <w:left w:val="none" w:sz="0" w:space="0" w:color="auto"/>
        <w:bottom w:val="none" w:sz="0" w:space="0" w:color="auto"/>
        <w:right w:val="none" w:sz="0" w:space="0" w:color="auto"/>
      </w:divBdr>
    </w:div>
    <w:div w:id="1880042918">
      <w:bodyDiv w:val="1"/>
      <w:marLeft w:val="0"/>
      <w:marRight w:val="0"/>
      <w:marTop w:val="0"/>
      <w:marBottom w:val="0"/>
      <w:divBdr>
        <w:top w:val="none" w:sz="0" w:space="0" w:color="auto"/>
        <w:left w:val="none" w:sz="0" w:space="0" w:color="auto"/>
        <w:bottom w:val="none" w:sz="0" w:space="0" w:color="auto"/>
        <w:right w:val="none" w:sz="0" w:space="0" w:color="auto"/>
      </w:divBdr>
    </w:div>
    <w:div w:id="2033804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628</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Hongru</dc:creator>
  <cp:keywords/>
  <dc:description/>
  <cp:lastModifiedBy>He, Hongru</cp:lastModifiedBy>
  <cp:revision>362</cp:revision>
  <dcterms:created xsi:type="dcterms:W3CDTF">2021-05-09T07:04:00Z</dcterms:created>
  <dcterms:modified xsi:type="dcterms:W3CDTF">2021-05-13T04:12:00Z</dcterms:modified>
</cp:coreProperties>
</file>