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D7" w:rsidRPr="00DB51FA" w:rsidRDefault="004479D7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請撰寫程式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不限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)，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從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UNCTAD</w:t>
      </w:r>
      <w:r w:rsidR="00A15735"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(聯合國貿易和發展會議)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網站自動抓取某個國家對其貿易對手的進出口資料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同時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by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年份及商品類型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)，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其中貿易對手及商品類型可透過程式參數設定</w:t>
      </w:r>
      <w:r w:rsidR="00A15735"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。</w:t>
      </w:r>
    </w:p>
    <w:p w:rsidR="00A15735" w:rsidRPr="00DB51FA" w:rsidRDefault="00A15735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HK"/>
        </w:rPr>
      </w:pPr>
    </w:p>
    <w:p w:rsidR="004479D7" w:rsidRDefault="004479D7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UNCTAD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網站資料庫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：</w:t>
      </w:r>
      <w:r w:rsidRPr="00DB51FA">
        <w:rPr>
          <w:rFonts w:ascii="微軟正黑體" w:eastAsia="微軟正黑體" w:hAnsi="微軟正黑體"/>
          <w:sz w:val="20"/>
          <w:szCs w:val="20"/>
        </w:rPr>
        <w:fldChar w:fldCharType="begin"/>
      </w:r>
      <w:r w:rsidRPr="00DB51FA">
        <w:rPr>
          <w:rFonts w:ascii="微軟正黑體" w:eastAsia="微軟正黑體" w:hAnsi="微軟正黑體"/>
          <w:sz w:val="20"/>
          <w:szCs w:val="20"/>
        </w:rPr>
        <w:instrText xml:space="preserve"> HYPERLINK "https://unctadstat.unctad.org/wds/ReportFolders/reportFolders.aspx" </w:instrText>
      </w:r>
      <w:r w:rsidRPr="00DB51FA">
        <w:rPr>
          <w:rFonts w:ascii="微軟正黑體" w:eastAsia="微軟正黑體" w:hAnsi="微軟正黑體"/>
          <w:sz w:val="20"/>
          <w:szCs w:val="20"/>
        </w:rPr>
        <w:fldChar w:fldCharType="separate"/>
      </w:r>
      <w:r w:rsidRPr="00DB51FA">
        <w:rPr>
          <w:rStyle w:val="a3"/>
          <w:rFonts w:ascii="微軟正黑體" w:eastAsia="微軟正黑體" w:hAnsi="微軟正黑體"/>
          <w:sz w:val="20"/>
          <w:szCs w:val="20"/>
        </w:rPr>
        <w:t>https://unctadstat.unctad.org/wds/ReportFolders/reportFolders.aspx</w:t>
      </w:r>
      <w:r w:rsidRPr="00DB51FA">
        <w:rPr>
          <w:rFonts w:ascii="微軟正黑體" w:eastAsia="微軟正黑體" w:hAnsi="微軟正黑體"/>
          <w:sz w:val="20"/>
          <w:szCs w:val="20"/>
        </w:rPr>
        <w:fldChar w:fldCharType="end"/>
      </w: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B51FA">
        <w:rPr>
          <w:rFonts w:ascii="微軟正黑體" w:eastAsia="微軟正黑體" w:hAnsi="微軟正黑體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228600</wp:posOffset>
            </wp:positionV>
            <wp:extent cx="5274000" cy="2552400"/>
            <wp:effectExtent l="0" t="0" r="3175" b="63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P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A15735" w:rsidRPr="00DB51FA" w:rsidRDefault="00A15735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A15735" w:rsidRDefault="00A15735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A15735" w:rsidRPr="00DB51FA" w:rsidRDefault="00A15735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HK"/>
        </w:rPr>
      </w:pP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請分別從其中的兩個資料集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出口及進口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)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去</w:t>
      </w:r>
      <w:r w:rsidR="00DB51FA"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抓取資料</w:t>
      </w:r>
    </w:p>
    <w:p w:rsidR="004479D7" w:rsidRPr="00DB51FA" w:rsidRDefault="00A15735" w:rsidP="00DB51FA">
      <w:pPr>
        <w:spacing w:line="400" w:lineRule="exact"/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</w:pPr>
      <w:r w:rsidRPr="00DB51FA"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  <w:t xml:space="preserve">Merchandise trade matrix – product groups, </w:t>
      </w:r>
      <w:r w:rsidRPr="00DB51FA">
        <w:rPr>
          <w:rFonts w:ascii="微軟正黑體" w:eastAsia="微軟正黑體" w:hAnsi="微軟正黑體"/>
          <w:b/>
          <w:color w:val="FF0000"/>
          <w:sz w:val="20"/>
          <w:szCs w:val="20"/>
          <w:u w:val="single"/>
          <w:lang w:eastAsia="zh-TW"/>
        </w:rPr>
        <w:t>exp</w:t>
      </w:r>
      <w:r w:rsidRPr="00DB51FA"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  <w:t>orts in thousands of United States dollars, annual</w:t>
      </w:r>
    </w:p>
    <w:p w:rsidR="00A15735" w:rsidRPr="00DB51FA" w:rsidRDefault="00A15735" w:rsidP="00DB51FA">
      <w:pPr>
        <w:spacing w:line="400" w:lineRule="exact"/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</w:pPr>
      <w:r w:rsidRPr="00DB51FA"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  <w:t xml:space="preserve">Merchandise trade matrix – product groups, 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u w:val="single"/>
          <w:lang w:eastAsia="zh-TW"/>
        </w:rPr>
        <w:t>im</w:t>
      </w:r>
      <w:r w:rsidRPr="00DB51FA">
        <w:rPr>
          <w:rFonts w:ascii="微軟正黑體" w:eastAsia="微軟正黑體" w:hAnsi="微軟正黑體"/>
          <w:b/>
          <w:color w:val="FF0000"/>
          <w:sz w:val="20"/>
          <w:szCs w:val="20"/>
          <w:u w:val="single"/>
          <w:lang w:eastAsia="zh-TW"/>
        </w:rPr>
        <w:t>p</w:t>
      </w:r>
      <w:r w:rsidRPr="00DB51FA">
        <w:rPr>
          <w:rFonts w:ascii="微軟正黑體" w:eastAsia="微軟正黑體" w:hAnsi="微軟正黑體"/>
          <w:b/>
          <w:sz w:val="20"/>
          <w:szCs w:val="20"/>
          <w:u w:val="single"/>
          <w:lang w:eastAsia="zh-TW"/>
        </w:rPr>
        <w:t>orts in thousands of United States dollars, annual</w:t>
      </w:r>
    </w:p>
    <w:p w:rsidR="00A15735" w:rsidRPr="00DB51FA" w:rsidRDefault="00A15735" w:rsidP="00DB51FA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A15735" w:rsidRPr="00DB51FA" w:rsidRDefault="00416F0D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HK"/>
        </w:rPr>
      </w:pP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程式</w:t>
      </w:r>
      <w:r w:rsidR="00A15735"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參數預設如下</w:t>
      </w:r>
    </w:p>
    <w:p w:rsidR="00A15735" w:rsidRPr="00DB51FA" w:rsidRDefault="00401A5A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  <w:proofErr w:type="gramStart"/>
      <w:r w:rsidRPr="00DB51FA">
        <w:rPr>
          <w:rFonts w:ascii="微軟正黑體" w:eastAsia="微軟正黑體" w:hAnsi="微軟正黑體"/>
          <w:b/>
          <w:color w:val="FF0000"/>
          <w:sz w:val="20"/>
          <w:szCs w:val="20"/>
          <w:lang w:eastAsia="zh-TW"/>
        </w:rPr>
        <w:t>ECONOMY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</w:t>
      </w:r>
      <w:proofErr w:type="gramEnd"/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即主體國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)：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美國</w:t>
      </w:r>
    </w:p>
    <w:p w:rsidR="00401A5A" w:rsidRPr="00DB51FA" w:rsidRDefault="00401A5A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  <w:r w:rsidRPr="00DB51FA">
        <w:rPr>
          <w:rFonts w:ascii="微軟正黑體" w:eastAsia="微軟正黑體" w:hAnsi="微軟正黑體"/>
          <w:sz w:val="20"/>
          <w:szCs w:val="20"/>
        </w:rPr>
        <w:t>YEAR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：1995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年以來</w:t>
      </w:r>
    </w:p>
    <w:p w:rsidR="00401A5A" w:rsidRPr="00DB51FA" w:rsidRDefault="00401A5A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  <w:proofErr w:type="gramStart"/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Partner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(</w:t>
      </w:r>
      <w:proofErr w:type="gramEnd"/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即貿易對手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)：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中國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日本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歐盟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加拿大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墨西哥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="00416F0D">
        <w:rPr>
          <w:rFonts w:ascii="微軟正黑體" w:eastAsia="微軟正黑體" w:hAnsi="微軟正黑體" w:hint="eastAsia"/>
          <w:sz w:val="20"/>
          <w:szCs w:val="20"/>
          <w:lang w:eastAsia="zh-TW"/>
        </w:rPr>
        <w:t>韓</w:t>
      </w:r>
      <w:r w:rsidR="00416F0D">
        <w:rPr>
          <w:rFonts w:ascii="微軟正黑體" w:eastAsia="微軟正黑體" w:hAnsi="微軟正黑體" w:hint="eastAsia"/>
          <w:sz w:val="20"/>
          <w:szCs w:val="20"/>
          <w:lang w:eastAsia="zh-HK"/>
        </w:rPr>
        <w:t>國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HK"/>
        </w:rPr>
        <w:t>台灣</w:t>
      </w:r>
      <w:r w:rsidR="00416F0D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="00416F0D">
        <w:rPr>
          <w:rFonts w:ascii="微軟正黑體" w:eastAsia="微軟正黑體" w:hAnsi="微軟正黑體" w:hint="eastAsia"/>
          <w:sz w:val="20"/>
          <w:szCs w:val="20"/>
          <w:lang w:eastAsia="zh-HK"/>
        </w:rPr>
        <w:t>瑞</w:t>
      </w:r>
      <w:r w:rsidR="00416F0D">
        <w:rPr>
          <w:rFonts w:ascii="微軟正黑體" w:eastAsia="微軟正黑體" w:hAnsi="微軟正黑體" w:hint="eastAsia"/>
          <w:sz w:val="20"/>
          <w:szCs w:val="20"/>
          <w:lang w:eastAsia="zh-TW"/>
        </w:rPr>
        <w:t>士</w:t>
      </w:r>
      <w:r w:rsidR="00EC3707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="00416F0D">
        <w:rPr>
          <w:rFonts w:ascii="微軟正黑體" w:eastAsia="微軟正黑體" w:hAnsi="微軟正黑體"/>
          <w:sz w:val="20"/>
          <w:szCs w:val="20"/>
          <w:lang w:eastAsia="zh-TW"/>
        </w:rPr>
        <w:t xml:space="preserve"> </w:t>
      </w:r>
    </w:p>
    <w:p w:rsidR="00401A5A" w:rsidRPr="00DB51FA" w:rsidRDefault="00401A5A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  <w:r w:rsidRPr="00DB51FA">
        <w:rPr>
          <w:rFonts w:ascii="微軟正黑體" w:eastAsia="微軟正黑體" w:hAnsi="微軟正黑體"/>
          <w:b/>
          <w:color w:val="FF0000"/>
          <w:sz w:val="20"/>
          <w:szCs w:val="20"/>
          <w:lang w:eastAsia="zh-TW"/>
        </w:rPr>
        <w:t>Product groups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(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選取的商品類型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)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：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Total all products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Food and live animals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Beverages and tobacco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Crude materials, inedible, except fuels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Mineral fuels, lubricants and related materials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Animal and vegetable oils, fats and waxes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Mineral fuels, lubricants and related materials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Chemical</w:t>
      </w:r>
      <w:bookmarkStart w:id="0" w:name="_GoBack"/>
      <w:bookmarkEnd w:id="0"/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 xml:space="preserve">s and related products, </w:t>
      </w:r>
      <w:proofErr w:type="spellStart"/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n.e.s</w:t>
      </w:r>
      <w:proofErr w:type="spellEnd"/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.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Manufactured goods</w:t>
      </w:r>
      <w:r w:rsidRPr="00DB51FA">
        <w:rPr>
          <w:rFonts w:ascii="微軟正黑體" w:eastAsia="微軟正黑體" w:hAnsi="微軟正黑體" w:hint="eastAsia"/>
          <w:sz w:val="20"/>
          <w:szCs w:val="20"/>
          <w:lang w:eastAsia="zh-TW"/>
        </w:rPr>
        <w:t>、</w:t>
      </w:r>
      <w:r w:rsidRPr="00DB51FA">
        <w:rPr>
          <w:rFonts w:ascii="微軟正黑體" w:eastAsia="微軟正黑體" w:hAnsi="微軟正黑體"/>
          <w:sz w:val="20"/>
          <w:szCs w:val="20"/>
          <w:lang w:eastAsia="zh-TW"/>
        </w:rPr>
        <w:t>Machinery and transport equipment</w:t>
      </w:r>
    </w:p>
    <w:p w:rsidR="00DB51FA" w:rsidRPr="00DB51FA" w:rsidRDefault="00DB51FA" w:rsidP="00DB51FA">
      <w:pPr>
        <w:spacing w:line="400" w:lineRule="exact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4479D7" w:rsidRDefault="00DB51FA" w:rsidP="00416F0D">
      <w:pPr>
        <w:spacing w:line="400" w:lineRule="exact"/>
        <w:rPr>
          <w:lang w:eastAsia="zh-TW"/>
        </w:rPr>
      </w:pP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輸出範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例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如附件</w:t>
      </w:r>
      <w:r w:rsidR="00416F0D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二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；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若可以的話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，</w:t>
      </w:r>
      <w:r w:rsidRPr="00DB51FA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請進一步將輸出資料以視覺化形式</w:t>
      </w:r>
      <w:r w:rsidR="00416F0D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進行分析</w:t>
      </w:r>
      <w:r w:rsidR="00EC3707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(</w:t>
      </w:r>
      <w:r w:rsidR="00EC3707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例如進出口或貿易收支</w:t>
      </w:r>
      <w:r w:rsidR="00EC3707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貢獻</w:t>
      </w:r>
      <w:r w:rsidR="00EC3707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HK"/>
        </w:rPr>
        <w:t>來源</w:t>
      </w:r>
      <w:r w:rsidR="00EC3707">
        <w:rPr>
          <w:rFonts w:ascii="微軟正黑體" w:eastAsia="微軟正黑體" w:hAnsi="微軟正黑體" w:hint="eastAsia"/>
          <w:b/>
          <w:color w:val="FF0000"/>
          <w:sz w:val="20"/>
          <w:szCs w:val="20"/>
          <w:lang w:eastAsia="zh-TW"/>
        </w:rPr>
        <w:t>)</w:t>
      </w:r>
    </w:p>
    <w:sectPr w:rsidR="004479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D7"/>
    <w:rsid w:val="00401A5A"/>
    <w:rsid w:val="00416F0D"/>
    <w:rsid w:val="004479D7"/>
    <w:rsid w:val="00A15735"/>
    <w:rsid w:val="00CF4B71"/>
    <w:rsid w:val="00DB51FA"/>
    <w:rsid w:val="00DD406E"/>
    <w:rsid w:val="00E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2DE"/>
  <w15:chartTrackingRefBased/>
  <w15:docId w15:val="{D39AC091-8A53-4800-B745-98AE701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7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謝偀杰</dc:creator>
  <cp:keywords/>
  <dc:description/>
  <cp:lastModifiedBy>謝偀杰</cp:lastModifiedBy>
  <cp:revision>2</cp:revision>
  <dcterms:created xsi:type="dcterms:W3CDTF">2020-04-29T01:43:00Z</dcterms:created>
  <dcterms:modified xsi:type="dcterms:W3CDTF">2020-04-29T03:12:00Z</dcterms:modified>
</cp:coreProperties>
</file>