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77777777" w:rsidR="009131AF" w:rsidRDefault="009131AF" w:rsidP="00060817">
      <w:pPr>
        <w:pStyle w:val="BodyText"/>
        <w:jc w:val="center"/>
        <w:rPr>
          <w:b/>
          <w:sz w:val="44"/>
          <w:szCs w:val="44"/>
        </w:rPr>
      </w:pPr>
      <w:r>
        <w:rPr>
          <w:b/>
          <w:sz w:val="44"/>
          <w:szCs w:val="44"/>
        </w:rPr>
        <w:t>Document Sharing Exchange on FHIR</w:t>
      </w:r>
    </w:p>
    <w:p w14:paraId="6AD7C411" w14:textId="0050CDC6" w:rsidR="009131AF" w:rsidRPr="00D26514" w:rsidRDefault="009131AF" w:rsidP="009131AF">
      <w:pPr>
        <w:pStyle w:val="BodyText"/>
        <w:jc w:val="center"/>
        <w:rPr>
          <w:b/>
          <w:sz w:val="44"/>
          <w:szCs w:val="44"/>
        </w:rPr>
      </w:pPr>
      <w:r>
        <w:rPr>
          <w:b/>
          <w:sz w:val="44"/>
          <w:szCs w:val="44"/>
        </w:rPr>
        <w:t>MHD-HIE</w:t>
      </w:r>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7D20351"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0.1</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001A522" w:rsidR="00A910E1" w:rsidRPr="00D26514" w:rsidRDefault="00A910E1" w:rsidP="00AC7C88">
      <w:pPr>
        <w:pStyle w:val="BodyText"/>
      </w:pPr>
      <w:r w:rsidRPr="00D26514">
        <w:t>Date:</w:t>
      </w:r>
      <w:r w:rsidRPr="00D26514">
        <w:tab/>
      </w:r>
      <w:r w:rsidRPr="00D26514">
        <w:tab/>
      </w:r>
      <w:r w:rsidR="00FD3FBD">
        <w:t>November 7</w:t>
      </w:r>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bookmarkStart w:id="2" w:name="_GoBack"/>
      <w:bookmarkEnd w:id="2"/>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CE136C">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CE136C">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CE136C">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CE136C">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CE136C">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CE136C">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CE136C">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CE136C">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CE136C">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CE136C">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CE136C">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CE136C">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CE136C">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CE136C">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CE136C">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CE136C">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CE136C">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CE136C">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CE136C">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CE136C">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CE136C">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CE136C">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CE136C">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CE136C">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CE136C">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CE136C">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CE136C">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CE136C">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CE136C">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CE136C">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CE136C">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CE136C">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CE136C">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CE136C">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CE136C">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CE136C">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CE136C">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CE136C">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CE136C">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CE136C">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CE136C">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CE136C">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CE136C">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CE136C">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CE136C">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CE136C">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CE136C">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CE136C">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CE136C">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CE136C">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CE136C">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CE136C">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CE136C">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CE136C">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CE136C">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CE136C">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CE136C">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CE136C">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CE136C">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CE136C">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CE136C">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CE136C">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CE136C">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CE136C">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CE136C">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CE136C">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CE136C">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CE136C">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CE136C">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CE136C">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CE136C">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CE136C">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CE136C">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CE136C">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CE136C">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CE136C">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CE136C">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CE136C">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CE136C">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CE136C">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CE136C">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CE136C">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CE136C">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CE136C">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CE136C">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CE136C">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CE136C">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CE136C">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CE136C">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CE136C">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CE136C">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CE136C">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CE136C">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CE136C">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CE136C">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CE136C">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CE136C">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CE136C">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CE136C">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CE136C">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CE136C">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CE136C">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CE136C">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CE136C">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CE136C">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CE136C">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CE136C">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CE136C">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CE136C">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CE136C">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CE136C">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CE136C">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CE136C">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CE136C">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CE136C">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CE136C">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CE136C">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CE136C">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CE136C">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CE136C">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CE136C">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CE136C">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CE136C">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CE136C">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CE136C">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CE136C">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D26514">
        <w:rPr>
          <w:noProof w:val="0"/>
        </w:rPr>
        <w:br w:type="page"/>
      </w:r>
      <w:bookmarkStart w:id="12" w:name="_Toc345074640"/>
      <w:bookmarkStart w:id="13" w:name="_Toc500238740"/>
      <w:r w:rsidR="00CF283F" w:rsidRPr="00D26514">
        <w:rPr>
          <w:noProof w:val="0"/>
        </w:rPr>
        <w:lastRenderedPageBreak/>
        <w:t>Introduction</w:t>
      </w:r>
      <w:bookmarkEnd w:id="5"/>
      <w:bookmarkEnd w:id="6"/>
      <w:bookmarkEnd w:id="7"/>
      <w:bookmarkEnd w:id="8"/>
      <w:bookmarkEnd w:id="9"/>
      <w:bookmarkEnd w:id="10"/>
      <w:bookmarkEnd w:id="11"/>
      <w:r w:rsidR="00167DB7" w:rsidRPr="00D26514">
        <w:rPr>
          <w:noProof w:val="0"/>
        </w:rPr>
        <w:t xml:space="preserve"> to this Supplement</w:t>
      </w:r>
      <w:bookmarkEnd w:id="12"/>
      <w:bookmarkEnd w:id="13"/>
    </w:p>
    <w:p w14:paraId="7A3F3FF6" w14:textId="77777777" w:rsidR="00A62DB8" w:rsidRDefault="00A62DB8" w:rsidP="00EA3BCB">
      <w:pPr>
        <w:pStyle w:val="BodyText"/>
      </w:pPr>
    </w:p>
    <w:p w14:paraId="7B23787C" w14:textId="50111D3C" w:rsidR="00A62DB8" w:rsidRPr="00A62DB8" w:rsidRDefault="00A62DB8" w:rsidP="00EA3BCB">
      <w:pPr>
        <w:pStyle w:val="BodyText"/>
        <w:rPr>
          <w:highlight w:val="yellow"/>
        </w:rPr>
      </w:pPr>
      <w:r w:rsidRPr="00A62DB8">
        <w:rPr>
          <w:highlight w:val="yellow"/>
        </w:rPr>
        <w:t>Alternative names:</w:t>
      </w:r>
    </w:p>
    <w:p w14:paraId="7EBA5BDC" w14:textId="51CCB45B" w:rsidR="00A62DB8" w:rsidRPr="00A62DB8" w:rsidRDefault="00A62DB8" w:rsidP="00A62DB8">
      <w:pPr>
        <w:pStyle w:val="BodyText"/>
        <w:numPr>
          <w:ilvl w:val="0"/>
          <w:numId w:val="25"/>
        </w:numPr>
        <w:rPr>
          <w:highlight w:val="yellow"/>
        </w:rPr>
      </w:pPr>
      <w:r w:rsidRPr="00A62DB8">
        <w:rPr>
          <w:highlight w:val="yellow"/>
        </w:rPr>
        <w:t>Mobile access to Health Documents – Health Information Exchange (MHD-HIE)</w:t>
      </w:r>
    </w:p>
    <w:p w14:paraId="3B9B7877" w14:textId="1B8CAC4A" w:rsidR="00A62DB8" w:rsidRPr="00A62DB8" w:rsidRDefault="00A62DB8" w:rsidP="00A62DB8">
      <w:pPr>
        <w:pStyle w:val="BodyText"/>
        <w:numPr>
          <w:ilvl w:val="0"/>
          <w:numId w:val="25"/>
        </w:numPr>
        <w:rPr>
          <w:highlight w:val="yellow"/>
        </w:rPr>
      </w:pPr>
      <w:r w:rsidRPr="00A62DB8">
        <w:rPr>
          <w:highlight w:val="yellow"/>
        </w:rPr>
        <w:t>Mobile Document Sharing Exchange (MDSE)</w:t>
      </w:r>
    </w:p>
    <w:p w14:paraId="5B92611B" w14:textId="0FE95FCE" w:rsidR="00A62DB8" w:rsidRPr="00A62DB8" w:rsidRDefault="00A62DB8" w:rsidP="00A62DB8">
      <w:pPr>
        <w:pStyle w:val="BodyText"/>
        <w:numPr>
          <w:ilvl w:val="0"/>
          <w:numId w:val="25"/>
        </w:numPr>
        <w:rPr>
          <w:highlight w:val="yellow"/>
        </w:rPr>
      </w:pPr>
      <w:r w:rsidRPr="00A62DB8">
        <w:rPr>
          <w:highlight w:val="yellow"/>
        </w:rPr>
        <w:t>Cross-Enterprise Document Sharing for Mobile (</w:t>
      </w:r>
      <w:proofErr w:type="spellStart"/>
      <w:r w:rsidRPr="00A62DB8">
        <w:rPr>
          <w:highlight w:val="yellow"/>
        </w:rPr>
        <w:t>XDS.m</w:t>
      </w:r>
      <w:proofErr w:type="spellEnd"/>
      <w:r w:rsidRPr="00A62DB8">
        <w:rPr>
          <w:highlight w:val="yellow"/>
        </w:rPr>
        <w:t>)</w:t>
      </w:r>
    </w:p>
    <w:p w14:paraId="070D0E46" w14:textId="111F2FF8" w:rsidR="00A62DB8" w:rsidRPr="00A62DB8" w:rsidRDefault="00A62DB8" w:rsidP="00A62DB8">
      <w:pPr>
        <w:pStyle w:val="BodyText"/>
        <w:numPr>
          <w:ilvl w:val="0"/>
          <w:numId w:val="25"/>
        </w:numPr>
        <w:rPr>
          <w:highlight w:val="yellow"/>
        </w:rPr>
      </w:pPr>
      <w:r w:rsidRPr="00A62DB8">
        <w:rPr>
          <w:highlight w:val="yellow"/>
        </w:rPr>
        <w:t>Mobile Health Documents Sharing (MHDS)</w:t>
      </w: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w:t>
      </w:r>
      <w:proofErr w:type="gramStart"/>
      <w:r>
        <w:t>profiles, and</w:t>
      </w:r>
      <w:proofErr w:type="gramEnd"/>
      <w:r>
        <w:t xml:space="preserve"> may outline new profiles that should be developed.  </w:t>
      </w:r>
    </w:p>
    <w:p w14:paraId="0DF43AF3" w14:textId="706314F0" w:rsidR="009131AF" w:rsidRDefault="00A52021" w:rsidP="00EA3BCB">
      <w:pPr>
        <w:pStyle w:val="BodyText"/>
      </w:pPr>
      <w:r w:rsidRPr="00A52021">
        <w:t xml:space="preserve">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w:t>
      </w:r>
      <w:proofErr w:type="gramStart"/>
      <w:r w:rsidRPr="00A52021">
        <w:t>and also</w:t>
      </w:r>
      <w:proofErr w:type="gramEnd"/>
      <w:r w:rsidRPr="00A52021">
        <w:t xml:space="preserve"> leverage as much as possible of modularity enabled by defined interoperability interfaces (IHE Profiles). Possibly for those that desire it, ONE common-use FHIR server (e.g. HAPI server, FIRELY server, </w:t>
      </w:r>
      <w:proofErr w:type="spellStart"/>
      <w:r w:rsidRPr="00A52021">
        <w:t>etc</w:t>
      </w:r>
      <w:proofErr w:type="spellEnd"/>
      <w:r w:rsidRPr="00A52021">
        <w:t>)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t>Application</w:t>
      </w:r>
    </w:p>
    <w:p w14:paraId="65E2E92C" w14:textId="77777777" w:rsidR="00A52021" w:rsidRDefault="00A52021" w:rsidP="00783E5A">
      <w:pPr>
        <w:pStyle w:val="BodyText"/>
        <w:numPr>
          <w:ilvl w:val="1"/>
          <w:numId w:val="21"/>
        </w:numPr>
      </w:pPr>
      <w:proofErr w:type="spellStart"/>
      <w:r>
        <w:lastRenderedPageBreak/>
        <w:t>PurposeOfUse</w:t>
      </w:r>
      <w:proofErr w:type="spellEnd"/>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CE136C" w:rsidRPr="003871B3" w:rsidRDefault="00CE136C" w:rsidP="00FC7C29">
                            <w:pPr>
                              <w:pStyle w:val="BodyText"/>
                            </w:pPr>
                            <w:bookmarkStart w:id="14" w:name="OLE_LINK15"/>
                            <w:bookmarkStart w:id="15" w:name="OLE_LINK16"/>
                            <w:bookmarkStart w:id="16" w:name="OLE_LINK69"/>
                            <w:bookmarkStart w:id="17"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CE136C" w:rsidRPr="003871B3" w:rsidRDefault="00CE136C"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CE136C" w:rsidRDefault="00CE136C"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CE136C" w:rsidRDefault="00CE136C"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CE136C" w:rsidRPr="003871B3" w:rsidRDefault="00CE136C"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4"/>
                          <w:bookmarkEnd w:id="15"/>
                          <w:p w14:paraId="054D5192" w14:textId="77777777" w:rsidR="00CE136C" w:rsidRPr="007117B8" w:rsidRDefault="00CE136C" w:rsidP="00EA3BCB">
                            <w:pPr>
                              <w:pStyle w:val="BodyText"/>
                            </w:pPr>
                          </w:p>
                          <w:tbl>
                            <w:tblPr>
                              <w:tblStyle w:val="TableGrid"/>
                              <w:tblW w:w="0" w:type="auto"/>
                              <w:jc w:val="center"/>
                              <w:tblLook w:val="04A0" w:firstRow="1" w:lastRow="0" w:firstColumn="1" w:lastColumn="0" w:noHBand="0" w:noVBand="1"/>
                            </w:tblPr>
                            <w:tblGrid>
                              <w:gridCol w:w="3170"/>
                              <w:gridCol w:w="1870"/>
                            </w:tblGrid>
                            <w:tr w:rsidR="00CE136C" w14:paraId="25B356C4" w14:textId="77777777" w:rsidTr="00EA3BCB">
                              <w:trPr>
                                <w:jc w:val="center"/>
                              </w:trPr>
                              <w:tc>
                                <w:tcPr>
                                  <w:tcW w:w="3170" w:type="dxa"/>
                                  <w:shd w:val="clear" w:color="auto" w:fill="D9D9D9" w:themeFill="background1" w:themeFillShade="D9"/>
                                </w:tcPr>
                                <w:p w14:paraId="03000BD5" w14:textId="77777777" w:rsidR="00CE136C" w:rsidRDefault="00CE136C" w:rsidP="00EA3BCB">
                                  <w:pPr>
                                    <w:pStyle w:val="TableEntryHeader"/>
                                  </w:pPr>
                                  <w:r>
                                    <w:t>FHIR Content</w:t>
                                  </w:r>
                                </w:p>
                                <w:p w14:paraId="023EFDEC" w14:textId="6316FADD" w:rsidR="00CE136C" w:rsidRPr="00FC2641" w:rsidRDefault="00CE136C"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CE136C" w:rsidRPr="00FC2641" w:rsidRDefault="00CE136C" w:rsidP="00EA3BCB">
                                  <w:pPr>
                                    <w:pStyle w:val="TableEntryHeader"/>
                                  </w:pPr>
                                  <w:r>
                                    <w:t>FMM Level</w:t>
                                  </w:r>
                                </w:p>
                              </w:tc>
                            </w:tr>
                            <w:tr w:rsidR="00CE136C" w14:paraId="6DC9BD48" w14:textId="77777777" w:rsidTr="00EA3BCB">
                              <w:trPr>
                                <w:jc w:val="center"/>
                              </w:trPr>
                              <w:tc>
                                <w:tcPr>
                                  <w:tcW w:w="3170" w:type="dxa"/>
                                </w:tcPr>
                                <w:p w14:paraId="6C147072" w14:textId="03A2EDA5" w:rsidR="00CE136C" w:rsidRPr="005D01C5" w:rsidRDefault="00CE136C" w:rsidP="00EA3BCB">
                                  <w:pPr>
                                    <w:pStyle w:val="TableEntry"/>
                                  </w:pPr>
                                </w:p>
                              </w:tc>
                              <w:tc>
                                <w:tcPr>
                                  <w:tcW w:w="1870" w:type="dxa"/>
                                </w:tcPr>
                                <w:p w14:paraId="672ABE0C" w14:textId="1C838200" w:rsidR="00CE136C" w:rsidRPr="005D01C5" w:rsidRDefault="00CE136C" w:rsidP="00EA3BCB">
                                  <w:pPr>
                                    <w:pStyle w:val="TableEntry"/>
                                  </w:pPr>
                                </w:p>
                              </w:tc>
                            </w:tr>
                            <w:tr w:rsidR="00CE136C" w14:paraId="4BAB9EA5" w14:textId="77777777" w:rsidTr="00EA3BCB">
                              <w:trPr>
                                <w:jc w:val="center"/>
                              </w:trPr>
                              <w:tc>
                                <w:tcPr>
                                  <w:tcW w:w="3170" w:type="dxa"/>
                                </w:tcPr>
                                <w:p w14:paraId="6F6F54B6" w14:textId="7C1EF02B" w:rsidR="00CE136C" w:rsidRPr="005D01C5" w:rsidRDefault="00CE136C" w:rsidP="00EA3BCB">
                                  <w:pPr>
                                    <w:pStyle w:val="TableEntry"/>
                                  </w:pPr>
                                </w:p>
                              </w:tc>
                              <w:tc>
                                <w:tcPr>
                                  <w:tcW w:w="1870" w:type="dxa"/>
                                </w:tcPr>
                                <w:p w14:paraId="1D11B724" w14:textId="49F0AE56" w:rsidR="00CE136C" w:rsidRPr="005D01C5" w:rsidRDefault="00CE136C" w:rsidP="00EA3BCB">
                                  <w:pPr>
                                    <w:pStyle w:val="TableEntry"/>
                                  </w:pPr>
                                </w:p>
                              </w:tc>
                            </w:tr>
                            <w:tr w:rsidR="00CE136C" w14:paraId="09F66B63" w14:textId="77777777" w:rsidTr="00EA3BCB">
                              <w:trPr>
                                <w:jc w:val="center"/>
                              </w:trPr>
                              <w:tc>
                                <w:tcPr>
                                  <w:tcW w:w="3170" w:type="dxa"/>
                                </w:tcPr>
                                <w:p w14:paraId="11F1ED1F" w14:textId="53C63696" w:rsidR="00CE136C" w:rsidRPr="00EA3BCB" w:rsidRDefault="00CE136C" w:rsidP="00EA3BCB">
                                  <w:pPr>
                                    <w:pStyle w:val="TableEntry"/>
                                    <w:rPr>
                                      <w:i/>
                                      <w:iCs/>
                                    </w:rPr>
                                  </w:pPr>
                                  <w:r w:rsidRPr="00EA3BCB">
                                    <w:rPr>
                                      <w:i/>
                                      <w:iCs/>
                                    </w:rPr>
                                    <w:t>&lt;e.g. Communication</w:t>
                                  </w:r>
                                </w:p>
                              </w:tc>
                              <w:tc>
                                <w:tcPr>
                                  <w:tcW w:w="1870" w:type="dxa"/>
                                </w:tcPr>
                                <w:p w14:paraId="09227530" w14:textId="175F69FE" w:rsidR="00CE136C" w:rsidRPr="00EA3BCB" w:rsidRDefault="00CE136C" w:rsidP="00EA3BCB">
                                  <w:pPr>
                                    <w:pStyle w:val="TableEntry"/>
                                    <w:rPr>
                                      <w:i/>
                                      <w:iCs/>
                                    </w:rPr>
                                  </w:pPr>
                                  <w:r w:rsidRPr="00EA3BCB">
                                    <w:rPr>
                                      <w:i/>
                                      <w:iCs/>
                                    </w:rPr>
                                    <w:t>2&gt;</w:t>
                                  </w:r>
                                </w:p>
                              </w:tc>
                            </w:tr>
                            <w:bookmarkEnd w:id="16"/>
                            <w:bookmarkEnd w:id="17"/>
                          </w:tbl>
                          <w:p w14:paraId="4D826A3D" w14:textId="77777777" w:rsidR="00CE136C" w:rsidRPr="007117B8" w:rsidRDefault="00CE136C"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CE136C" w:rsidRPr="003871B3" w:rsidRDefault="00CE136C" w:rsidP="00FC7C29">
                      <w:pPr>
                        <w:pStyle w:val="BodyText"/>
                      </w:pPr>
                      <w:bookmarkStart w:id="18" w:name="OLE_LINK15"/>
                      <w:bookmarkStart w:id="19" w:name="OLE_LINK16"/>
                      <w:bookmarkStart w:id="20" w:name="OLE_LINK69"/>
                      <w:bookmarkStart w:id="21"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CE136C" w:rsidRPr="003871B3" w:rsidRDefault="00CE136C"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CE136C" w:rsidRDefault="00CE136C"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CE136C" w:rsidRDefault="00CE136C"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CE136C" w:rsidRPr="003871B3" w:rsidRDefault="00CE136C"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8"/>
                    <w:bookmarkEnd w:id="19"/>
                    <w:p w14:paraId="054D5192" w14:textId="77777777" w:rsidR="00CE136C" w:rsidRPr="007117B8" w:rsidRDefault="00CE136C" w:rsidP="00EA3BCB">
                      <w:pPr>
                        <w:pStyle w:val="BodyText"/>
                      </w:pPr>
                    </w:p>
                    <w:tbl>
                      <w:tblPr>
                        <w:tblStyle w:val="TableGrid"/>
                        <w:tblW w:w="0" w:type="auto"/>
                        <w:jc w:val="center"/>
                        <w:tblLook w:val="04A0" w:firstRow="1" w:lastRow="0" w:firstColumn="1" w:lastColumn="0" w:noHBand="0" w:noVBand="1"/>
                      </w:tblPr>
                      <w:tblGrid>
                        <w:gridCol w:w="3170"/>
                        <w:gridCol w:w="1870"/>
                      </w:tblGrid>
                      <w:tr w:rsidR="00CE136C" w14:paraId="25B356C4" w14:textId="77777777" w:rsidTr="00EA3BCB">
                        <w:trPr>
                          <w:jc w:val="center"/>
                        </w:trPr>
                        <w:tc>
                          <w:tcPr>
                            <w:tcW w:w="3170" w:type="dxa"/>
                            <w:shd w:val="clear" w:color="auto" w:fill="D9D9D9" w:themeFill="background1" w:themeFillShade="D9"/>
                          </w:tcPr>
                          <w:p w14:paraId="03000BD5" w14:textId="77777777" w:rsidR="00CE136C" w:rsidRDefault="00CE136C" w:rsidP="00EA3BCB">
                            <w:pPr>
                              <w:pStyle w:val="TableEntryHeader"/>
                            </w:pPr>
                            <w:r>
                              <w:t>FHIR Content</w:t>
                            </w:r>
                          </w:p>
                          <w:p w14:paraId="023EFDEC" w14:textId="6316FADD" w:rsidR="00CE136C" w:rsidRPr="00FC2641" w:rsidRDefault="00CE136C"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CE136C" w:rsidRPr="00FC2641" w:rsidRDefault="00CE136C" w:rsidP="00EA3BCB">
                            <w:pPr>
                              <w:pStyle w:val="TableEntryHeader"/>
                            </w:pPr>
                            <w:r>
                              <w:t>FMM Level</w:t>
                            </w:r>
                          </w:p>
                        </w:tc>
                      </w:tr>
                      <w:tr w:rsidR="00CE136C" w14:paraId="6DC9BD48" w14:textId="77777777" w:rsidTr="00EA3BCB">
                        <w:trPr>
                          <w:jc w:val="center"/>
                        </w:trPr>
                        <w:tc>
                          <w:tcPr>
                            <w:tcW w:w="3170" w:type="dxa"/>
                          </w:tcPr>
                          <w:p w14:paraId="6C147072" w14:textId="03A2EDA5" w:rsidR="00CE136C" w:rsidRPr="005D01C5" w:rsidRDefault="00CE136C" w:rsidP="00EA3BCB">
                            <w:pPr>
                              <w:pStyle w:val="TableEntry"/>
                            </w:pPr>
                          </w:p>
                        </w:tc>
                        <w:tc>
                          <w:tcPr>
                            <w:tcW w:w="1870" w:type="dxa"/>
                          </w:tcPr>
                          <w:p w14:paraId="672ABE0C" w14:textId="1C838200" w:rsidR="00CE136C" w:rsidRPr="005D01C5" w:rsidRDefault="00CE136C" w:rsidP="00EA3BCB">
                            <w:pPr>
                              <w:pStyle w:val="TableEntry"/>
                            </w:pPr>
                          </w:p>
                        </w:tc>
                      </w:tr>
                      <w:tr w:rsidR="00CE136C" w14:paraId="4BAB9EA5" w14:textId="77777777" w:rsidTr="00EA3BCB">
                        <w:trPr>
                          <w:jc w:val="center"/>
                        </w:trPr>
                        <w:tc>
                          <w:tcPr>
                            <w:tcW w:w="3170" w:type="dxa"/>
                          </w:tcPr>
                          <w:p w14:paraId="6F6F54B6" w14:textId="7C1EF02B" w:rsidR="00CE136C" w:rsidRPr="005D01C5" w:rsidRDefault="00CE136C" w:rsidP="00EA3BCB">
                            <w:pPr>
                              <w:pStyle w:val="TableEntry"/>
                            </w:pPr>
                          </w:p>
                        </w:tc>
                        <w:tc>
                          <w:tcPr>
                            <w:tcW w:w="1870" w:type="dxa"/>
                          </w:tcPr>
                          <w:p w14:paraId="1D11B724" w14:textId="49F0AE56" w:rsidR="00CE136C" w:rsidRPr="005D01C5" w:rsidRDefault="00CE136C" w:rsidP="00EA3BCB">
                            <w:pPr>
                              <w:pStyle w:val="TableEntry"/>
                            </w:pPr>
                          </w:p>
                        </w:tc>
                      </w:tr>
                      <w:tr w:rsidR="00CE136C" w14:paraId="09F66B63" w14:textId="77777777" w:rsidTr="00EA3BCB">
                        <w:trPr>
                          <w:jc w:val="center"/>
                        </w:trPr>
                        <w:tc>
                          <w:tcPr>
                            <w:tcW w:w="3170" w:type="dxa"/>
                          </w:tcPr>
                          <w:p w14:paraId="11F1ED1F" w14:textId="53C63696" w:rsidR="00CE136C" w:rsidRPr="00EA3BCB" w:rsidRDefault="00CE136C" w:rsidP="00EA3BCB">
                            <w:pPr>
                              <w:pStyle w:val="TableEntry"/>
                              <w:rPr>
                                <w:i/>
                                <w:iCs/>
                              </w:rPr>
                            </w:pPr>
                            <w:r w:rsidRPr="00EA3BCB">
                              <w:rPr>
                                <w:i/>
                                <w:iCs/>
                              </w:rPr>
                              <w:t>&lt;e.g. Communication</w:t>
                            </w:r>
                          </w:p>
                        </w:tc>
                        <w:tc>
                          <w:tcPr>
                            <w:tcW w:w="1870" w:type="dxa"/>
                          </w:tcPr>
                          <w:p w14:paraId="09227530" w14:textId="175F69FE" w:rsidR="00CE136C" w:rsidRPr="00EA3BCB" w:rsidRDefault="00CE136C" w:rsidP="00EA3BCB">
                            <w:pPr>
                              <w:pStyle w:val="TableEntry"/>
                              <w:rPr>
                                <w:i/>
                                <w:iCs/>
                              </w:rPr>
                            </w:pPr>
                            <w:r w:rsidRPr="00EA3BCB">
                              <w:rPr>
                                <w:i/>
                                <w:iCs/>
                              </w:rPr>
                              <w:t>2&gt;</w:t>
                            </w:r>
                          </w:p>
                        </w:tc>
                      </w:tr>
                      <w:bookmarkEnd w:id="20"/>
                      <w:bookmarkEnd w:id="21"/>
                    </w:tbl>
                    <w:p w14:paraId="4D826A3D" w14:textId="77777777" w:rsidR="00CE136C" w:rsidRPr="007117B8" w:rsidRDefault="00CE136C"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t>Brief Overview Text goes here</w:t>
      </w:r>
      <w:proofErr w:type="gramStart"/>
      <w:r w:rsidRPr="00D26514">
        <w:t>…..</w:t>
      </w:r>
      <w:proofErr w:type="gramEnd"/>
    </w:p>
    <w:p w14:paraId="75F9AA9D" w14:textId="77777777" w:rsidR="00CF283F" w:rsidRPr="00D26514" w:rsidRDefault="00CF283F" w:rsidP="008616CB">
      <w:pPr>
        <w:pStyle w:val="Heading2"/>
        <w:numPr>
          <w:ilvl w:val="0"/>
          <w:numId w:val="0"/>
        </w:numPr>
        <w:rPr>
          <w:noProof w:val="0"/>
        </w:rPr>
      </w:pPr>
      <w:bookmarkStart w:id="22" w:name="_Toc345074641"/>
      <w:bookmarkStart w:id="23" w:name="_Toc500238741"/>
      <w:r w:rsidRPr="00D26514">
        <w:rPr>
          <w:noProof w:val="0"/>
        </w:rPr>
        <w:lastRenderedPageBreak/>
        <w:t>Open Issues and Questions</w:t>
      </w:r>
      <w:bookmarkEnd w:id="22"/>
      <w:bookmarkEnd w:id="23"/>
    </w:p>
    <w:p w14:paraId="0613310A" w14:textId="1DBA4842"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MHD-HIE.</w:t>
      </w:r>
    </w:p>
    <w:p w14:paraId="0327AE6B" w14:textId="791F033F" w:rsidR="00F71A15" w:rsidRPr="00F71A15" w:rsidRDefault="00F71A15" w:rsidP="00783E5A">
      <w:pPr>
        <w:pStyle w:val="ListParagraph"/>
        <w:numPr>
          <w:ilvl w:val="0"/>
          <w:numId w:val="20"/>
        </w:numPr>
        <w:rPr>
          <w:i/>
        </w:rPr>
      </w:pPr>
      <w:r w:rsidRPr="00F71A15">
        <w:rPr>
          <w:i/>
        </w:rPr>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0E72C659" w14:textId="79D4EADC" w:rsidR="00F71A15" w:rsidRDefault="00F71A15" w:rsidP="00783E5A">
      <w:pPr>
        <w:pStyle w:val="AuthorInstructions"/>
        <w:numPr>
          <w:ilvl w:val="0"/>
          <w:numId w:val="20"/>
        </w:numPr>
      </w:pPr>
      <w:r>
        <w:t xml:space="preserve">Can </w:t>
      </w:r>
      <w:proofErr w:type="spellStart"/>
      <w:r>
        <w:t>sourcePatientInfo</w:t>
      </w:r>
      <w:proofErr w:type="spellEnd"/>
      <w:r>
        <w:t xml:space="preserve"> be a version specific link to the centrally managed (PRIM) identity? Clearly it can continue to be </w:t>
      </w:r>
      <w:r w:rsidR="00A06774">
        <w:t>contained but</w:t>
      </w:r>
      <w:r>
        <w:t xml:space="preserve"> is this still a mandate when the Patient is known to be managed.</w:t>
      </w:r>
    </w:p>
    <w:p w14:paraId="14272476" w14:textId="1860FCE9"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24" w:name="_Toc345074642"/>
      <w:bookmarkStart w:id="25" w:name="_Toc500238742"/>
      <w:bookmarkStart w:id="26" w:name="_Toc473170357"/>
      <w:bookmarkStart w:id="27" w:name="_Toc504625754"/>
      <w:r w:rsidRPr="00D26514">
        <w:rPr>
          <w:noProof w:val="0"/>
        </w:rPr>
        <w:t>Closed Issues</w:t>
      </w:r>
      <w:bookmarkEnd w:id="24"/>
      <w:bookmarkEnd w:id="25"/>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8" w:name="_Toc345074643"/>
      <w:bookmarkStart w:id="29" w:name="_Toc500238743"/>
      <w:r w:rsidRPr="00D26514">
        <w:rPr>
          <w:noProof w:val="0"/>
        </w:rPr>
        <w:lastRenderedPageBreak/>
        <w:t>General Introduction</w:t>
      </w:r>
      <w:bookmarkEnd w:id="28"/>
      <w:r w:rsidR="00623829" w:rsidRPr="00D26514">
        <w:rPr>
          <w:noProof w:val="0"/>
        </w:rPr>
        <w:t xml:space="preserve"> and Shared Appendices</w:t>
      </w:r>
      <w:bookmarkEnd w:id="29"/>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0" w:name="_Toc345074644"/>
    </w:p>
    <w:p w14:paraId="7BDAB41D" w14:textId="2533999A" w:rsidR="00747676" w:rsidRPr="00D26514" w:rsidRDefault="00747676" w:rsidP="00EA3BCB">
      <w:pPr>
        <w:pStyle w:val="Heading1"/>
        <w:pageBreakBefore w:val="0"/>
        <w:numPr>
          <w:ilvl w:val="0"/>
          <w:numId w:val="0"/>
        </w:numPr>
        <w:rPr>
          <w:noProof w:val="0"/>
        </w:rPr>
      </w:pPr>
      <w:bookmarkStart w:id="31" w:name="_Toc500238744"/>
      <w:r w:rsidRPr="00D26514">
        <w:rPr>
          <w:noProof w:val="0"/>
        </w:rPr>
        <w:t xml:space="preserve">Appendix A </w:t>
      </w:r>
      <w:bookmarkStart w:id="32" w:name="OLE_LINK1"/>
      <w:bookmarkStart w:id="33" w:name="OLE_LINK2"/>
      <w:r w:rsidR="00883B13" w:rsidRPr="00D26514">
        <w:rPr>
          <w:noProof w:val="0"/>
        </w:rPr>
        <w:t>–</w:t>
      </w:r>
      <w:bookmarkEnd w:id="32"/>
      <w:bookmarkEnd w:id="33"/>
      <w:r w:rsidRPr="00D26514">
        <w:rPr>
          <w:noProof w:val="0"/>
        </w:rPr>
        <w:t xml:space="preserve"> Actor Summary Definitions</w:t>
      </w:r>
      <w:bookmarkEnd w:id="30"/>
      <w:bookmarkEnd w:id="3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4" w:name="OLE_LINK14"/>
      <w:bookmarkStart w:id="35" w:name="OLE_LINK17"/>
      <w:r w:rsidRPr="00D26514">
        <w:t xml:space="preserve">&lt;Add any </w:t>
      </w:r>
      <w:bookmarkEnd w:id="34"/>
      <w:bookmarkEnd w:id="35"/>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36" w:name="OLE_LINK19"/>
            <w:r w:rsidRPr="00EA3BCB">
              <w:rPr>
                <w:i/>
              </w:rPr>
              <w:t>&lt;Verb-Noun format (e.g., Store Image, Register Document Set)&gt;</w:t>
            </w:r>
            <w:bookmarkEnd w:id="36"/>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37" w:name="_Toc345074645"/>
    </w:p>
    <w:p w14:paraId="43C7F1F4" w14:textId="2993640D" w:rsidR="00747676" w:rsidRPr="00D26514" w:rsidRDefault="00747676" w:rsidP="00EA3BCB">
      <w:pPr>
        <w:pStyle w:val="Heading1"/>
        <w:pageBreakBefore w:val="0"/>
        <w:numPr>
          <w:ilvl w:val="0"/>
          <w:numId w:val="0"/>
        </w:numPr>
        <w:rPr>
          <w:noProof w:val="0"/>
        </w:rPr>
      </w:pPr>
      <w:bookmarkStart w:id="38"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7"/>
      <w:bookmarkEnd w:id="38"/>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39" w:name="_Toc345074646"/>
    </w:p>
    <w:p w14:paraId="533BB80E" w14:textId="77777777" w:rsidR="00747676" w:rsidRPr="00D26514" w:rsidRDefault="00814F76" w:rsidP="00EA3BCB">
      <w:pPr>
        <w:pStyle w:val="Heading1"/>
        <w:pageBreakBefore w:val="0"/>
        <w:numPr>
          <w:ilvl w:val="0"/>
          <w:numId w:val="0"/>
        </w:numPr>
        <w:rPr>
          <w:noProof w:val="0"/>
        </w:rPr>
      </w:pPr>
      <w:bookmarkStart w:id="40" w:name="_Toc500238746"/>
      <w:r w:rsidRPr="00D26514">
        <w:rPr>
          <w:noProof w:val="0"/>
        </w:rPr>
        <w:t xml:space="preserve">Appendix D – </w:t>
      </w:r>
      <w:r w:rsidR="00747676" w:rsidRPr="00D26514">
        <w:rPr>
          <w:noProof w:val="0"/>
        </w:rPr>
        <w:t>Glossary</w:t>
      </w:r>
      <w:bookmarkEnd w:id="39"/>
      <w:bookmarkEnd w:id="40"/>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41" w:name="OLE_LINK75"/>
      <w:bookmarkStart w:id="42"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41"/>
      <w:bookmarkEnd w:id="42"/>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3"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4"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3"/>
      <w:bookmarkEnd w:id="44"/>
    </w:p>
    <w:p w14:paraId="22DEE049" w14:textId="77777777" w:rsidR="00B55350" w:rsidRPr="00D26514" w:rsidRDefault="00F455EA" w:rsidP="00C62E65">
      <w:pPr>
        <w:pStyle w:val="Heading2"/>
        <w:numPr>
          <w:ilvl w:val="0"/>
          <w:numId w:val="0"/>
        </w:numPr>
        <w:rPr>
          <w:noProof w:val="0"/>
        </w:rPr>
      </w:pPr>
      <w:bookmarkStart w:id="45" w:name="_Toc345074648"/>
      <w:bookmarkStart w:id="46" w:name="_Toc500238748"/>
      <w:bookmarkStart w:id="47" w:name="_Toc530206507"/>
      <w:bookmarkStart w:id="48" w:name="_Toc1388427"/>
      <w:bookmarkStart w:id="49" w:name="_Toc1388581"/>
      <w:bookmarkStart w:id="50" w:name="_Toc1456608"/>
      <w:bookmarkStart w:id="51" w:name="_Toc37034633"/>
      <w:bookmarkStart w:id="52"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5"/>
      <w:bookmarkEnd w:id="46"/>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53" w:name="OLE_LINK102"/>
      <w:bookmarkStart w:id="54" w:name="OLE_LINK103"/>
      <w:bookmarkStart w:id="55" w:name="OLE_LINK104"/>
      <w:r w:rsidR="00F455EA" w:rsidRPr="00D26514">
        <w:t>General Introduction</w:t>
      </w:r>
      <w:bookmarkEnd w:id="53"/>
      <w:bookmarkEnd w:id="54"/>
      <w:bookmarkEnd w:id="55"/>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56" w:name="_Toc345074649"/>
      <w:bookmarkStart w:id="57" w:name="_Toc500238749"/>
      <w:r w:rsidRPr="00D26514">
        <w:rPr>
          <w:noProof w:val="0"/>
        </w:rPr>
        <w:t>&lt;</w:t>
      </w:r>
      <w:r w:rsidRPr="00D26514">
        <w:rPr>
          <w:i/>
          <w:noProof w:val="0"/>
        </w:rPr>
        <w:t>Domain-specific additions</w:t>
      </w:r>
      <w:r w:rsidR="005672A9" w:rsidRPr="00D26514">
        <w:rPr>
          <w:i/>
          <w:noProof w:val="0"/>
        </w:rPr>
        <w:t>&gt;</w:t>
      </w:r>
      <w:bookmarkEnd w:id="56"/>
      <w:bookmarkEnd w:id="57"/>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26"/>
      <w:bookmarkEnd w:id="27"/>
      <w:bookmarkEnd w:id="47"/>
      <w:bookmarkEnd w:id="48"/>
      <w:bookmarkEnd w:id="49"/>
      <w:bookmarkEnd w:id="50"/>
      <w:bookmarkEnd w:id="51"/>
      <w:bookmarkEnd w:id="52"/>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49BDAAF9" w:rsidR="00303E20" w:rsidRPr="00D26514" w:rsidRDefault="00303E20" w:rsidP="00303E20">
      <w:pPr>
        <w:pStyle w:val="Heading1"/>
        <w:pageBreakBefore w:val="0"/>
        <w:numPr>
          <w:ilvl w:val="0"/>
          <w:numId w:val="0"/>
        </w:numPr>
        <w:rPr>
          <w:noProof w:val="0"/>
        </w:rPr>
      </w:pPr>
      <w:bookmarkStart w:id="66" w:name="_Toc345074650"/>
      <w:bookmarkStart w:id="67" w:name="_Toc500238750"/>
      <w:r w:rsidRPr="00D26514">
        <w:rPr>
          <w:noProof w:val="0"/>
        </w:rPr>
        <w:t xml:space="preserve">X </w:t>
      </w:r>
      <w:r w:rsidR="00A06774">
        <w:rPr>
          <w:noProof w:val="0"/>
        </w:rPr>
        <w:t xml:space="preserve">Document Sharing Exchange on FHIR (MHD-HIE) </w:t>
      </w:r>
      <w:r w:rsidRPr="00D26514">
        <w:rPr>
          <w:noProof w:val="0"/>
        </w:rPr>
        <w:t>Profile</w:t>
      </w:r>
      <w:bookmarkEnd w:id="66"/>
      <w:bookmarkEnd w:id="67"/>
    </w:p>
    <w:p w14:paraId="373F81EE" w14:textId="4BC4B5ED" w:rsidR="00A06774" w:rsidRDefault="00A06774" w:rsidP="00B92EA1">
      <w:pPr>
        <w:pStyle w:val="AuthorInstructions"/>
        <w:rPr>
          <w:i w:val="0"/>
        </w:rPr>
      </w:pPr>
      <w:r>
        <w:rPr>
          <w:i w:val="0"/>
        </w:rPr>
        <w:t>This profile defines a Document Sharing Exchange that is based around the 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3"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CE136C"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4"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68"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C625FC" w:rsidP="00A62DB8">
      <w:pPr>
        <w:numPr>
          <w:ilvl w:val="0"/>
          <w:numId w:val="22"/>
        </w:numPr>
        <w:shd w:val="clear" w:color="auto" w:fill="FFFFFF"/>
        <w:spacing w:before="100" w:beforeAutospacing="1" w:after="100" w:afterAutospacing="1"/>
        <w:rPr>
          <w:rStyle w:val="Hyperlink"/>
          <w:color w:val="9C7DBE"/>
        </w:rPr>
      </w:pPr>
      <w:hyperlink r:id="rId35" w:history="1">
        <w:r w:rsidRPr="00C625FC">
          <w:rPr>
            <w:rStyle w:val="Hyperlink"/>
            <w:rFonts w:ascii="Segoe UI" w:hAnsi="Segoe UI" w:cs="Segoe UI"/>
            <w:color w:val="9C7DBE"/>
          </w:rPr>
          <w:t>Template for XDS Affinity Domain Deployment Planning</w:t>
        </w:r>
      </w:hyperlink>
    </w:p>
    <w:bookmarkEnd w:id="68"/>
    <w:p w14:paraId="747D1A94" w14:textId="0831FD46" w:rsidR="00A06774" w:rsidRPr="002F0577" w:rsidRDefault="00A62DB8" w:rsidP="00B92EA1">
      <w:pPr>
        <w:pStyle w:val="AuthorInstructions"/>
        <w:rPr>
          <w:i w:val="0"/>
        </w:rPr>
      </w:pPr>
      <w:r>
        <w:rPr>
          <w:i w:val="0"/>
        </w:rPr>
        <w:t>Further elaboration of the use-cases and solutions can be found in section X.4 below.</w:t>
      </w:r>
    </w:p>
    <w:p w14:paraId="26EFC41B" w14:textId="77777777" w:rsidR="002F0577" w:rsidRPr="00D45A9E" w:rsidRDefault="002F0577" w:rsidP="00B92EA1">
      <w:pPr>
        <w:pStyle w:val="AuthorInstructions"/>
        <w:rPr>
          <w:i w:val="0"/>
          <w:u w:val="single"/>
        </w:rPr>
      </w:pPr>
    </w:p>
    <w:p w14:paraId="09AA4275" w14:textId="7FA150B7" w:rsidR="00A85861" w:rsidRPr="00D26514" w:rsidRDefault="00CF283F" w:rsidP="00D91815">
      <w:pPr>
        <w:pStyle w:val="Heading2"/>
        <w:numPr>
          <w:ilvl w:val="0"/>
          <w:numId w:val="0"/>
        </w:numPr>
        <w:rPr>
          <w:noProof w:val="0"/>
        </w:rPr>
      </w:pPr>
      <w:bookmarkStart w:id="69" w:name="_Toc345074651"/>
      <w:bookmarkStart w:id="70" w:name="_Toc500238751"/>
      <w:r w:rsidRPr="00D26514">
        <w:rPr>
          <w:noProof w:val="0"/>
        </w:rPr>
        <w:t xml:space="preserve">X.1 </w:t>
      </w:r>
      <w:r w:rsidR="00BC69B5">
        <w:rPr>
          <w:noProof w:val="0"/>
        </w:rPr>
        <w:t>MHD-HIE</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58"/>
      <w:bookmarkEnd w:id="59"/>
      <w:bookmarkEnd w:id="60"/>
      <w:bookmarkEnd w:id="61"/>
      <w:bookmarkEnd w:id="62"/>
      <w:bookmarkEnd w:id="63"/>
      <w:bookmarkEnd w:id="64"/>
      <w:bookmarkEnd w:id="65"/>
      <w:r w:rsidR="008608EF" w:rsidRPr="00D26514">
        <w:rPr>
          <w:noProof w:val="0"/>
        </w:rPr>
        <w:t>, and Content Modules</w:t>
      </w:r>
      <w:bookmarkStart w:id="71" w:name="_Toc473170359"/>
      <w:bookmarkStart w:id="72" w:name="_Toc504625756"/>
      <w:bookmarkStart w:id="73" w:name="_Toc530206509"/>
      <w:bookmarkStart w:id="74" w:name="_Toc1388429"/>
      <w:bookmarkStart w:id="75" w:name="_Toc1388583"/>
      <w:bookmarkStart w:id="76" w:name="_Toc1456610"/>
      <w:bookmarkStart w:id="77" w:name="_Toc37034635"/>
      <w:bookmarkStart w:id="78" w:name="_Toc38846113"/>
      <w:bookmarkEnd w:id="69"/>
      <w:bookmarkEnd w:id="70"/>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77777777" w:rsidR="00A31857" w:rsidRPr="00D26514" w:rsidRDefault="00A31857" w:rsidP="00A31857">
      <w:pPr>
        <w:pStyle w:val="BodyText"/>
        <w:jc w:val="center"/>
      </w:pPr>
      <w:r w:rsidRPr="00BC69B5">
        <w:rPr>
          <w:noProof/>
        </w:rPr>
        <w:lastRenderedPageBreak/>
        <w:drawing>
          <wp:inline distT="0" distB="0" distL="0" distR="0" wp14:anchorId="0C9E8402" wp14:editId="383B0B22">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43275"/>
                    </a:xfrm>
                    <a:prstGeom prst="rect">
                      <a:avLst/>
                    </a:prstGeom>
                  </pic:spPr>
                </pic:pic>
              </a:graphicData>
            </a:graphic>
          </wp:inline>
        </w:drawing>
      </w:r>
    </w:p>
    <w:p w14:paraId="1E35AF9B" w14:textId="77777777" w:rsidR="00A31857" w:rsidRPr="00D26514" w:rsidRDefault="00A31857" w:rsidP="00A31857">
      <w:pPr>
        <w:pStyle w:val="FigureTitle"/>
      </w:pPr>
      <w:r w:rsidRPr="00D26514">
        <w:t xml:space="preserve">Figure X.1-1: </w:t>
      </w:r>
      <w:r>
        <w:t>MHD-HIE</w:t>
      </w:r>
      <w:r w:rsidRPr="00D26514">
        <w:t xml:space="preserve"> Actor Diagram</w:t>
      </w:r>
    </w:p>
    <w:p w14:paraId="0471B2AB" w14:textId="62A083D2" w:rsidR="00D91815" w:rsidRDefault="00D91815" w:rsidP="00BB76BC">
      <w:pPr>
        <w:pStyle w:val="BodyText"/>
      </w:pPr>
    </w:p>
    <w:p w14:paraId="42EDF1AC" w14:textId="5D54996C"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PRIM Patient Identity Consumer is provided to enable patient identity synchronization and specifically the merge function to be applied to any data managed in the Document Registry. The </w:t>
      </w:r>
      <w:proofErr w:type="spellStart"/>
      <w:r>
        <w:t>SVSm</w:t>
      </w:r>
      <w:proofErr w:type="spellEnd"/>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40E4504B" w:rsidR="00E6404A" w:rsidRDefault="00395932" w:rsidP="00E6404A">
      <w:pPr>
        <w:pStyle w:val="FigureTitle"/>
      </w:pPr>
      <w:r>
        <w:rPr>
          <w:noProof/>
        </w:rPr>
        <w:lastRenderedPageBreak/>
        <w:drawing>
          <wp:inline distT="0" distB="0" distL="0" distR="0" wp14:anchorId="2E661D2A" wp14:editId="778EEB43">
            <wp:extent cx="3401695" cy="3408045"/>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1695" cy="3408045"/>
                    </a:xfrm>
                    <a:prstGeom prst="rect">
                      <a:avLst/>
                    </a:prstGeom>
                    <a:noFill/>
                  </pic:spPr>
                </pic:pic>
              </a:graphicData>
            </a:graphic>
          </wp:inline>
        </w:drawing>
      </w:r>
    </w:p>
    <w:p w14:paraId="2A0E1440" w14:textId="77777777" w:rsidR="00E6404A" w:rsidRPr="00D26514" w:rsidRDefault="00E6404A" w:rsidP="00E6404A">
      <w:pPr>
        <w:pStyle w:val="FigureTitle"/>
      </w:pPr>
      <w:r w:rsidRPr="00D26514">
        <w:t>Figure X.1-</w:t>
      </w:r>
      <w:r>
        <w:t>2</w:t>
      </w:r>
      <w:r w:rsidRPr="00D26514">
        <w:t xml:space="preserve">: </w:t>
      </w:r>
      <w:r>
        <w:t>MHD-HIE</w:t>
      </w:r>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4F883121" w:rsidR="00CF283F" w:rsidRDefault="00CF283F">
      <w:pPr>
        <w:pStyle w:val="BodyText"/>
      </w:pPr>
      <w:r w:rsidRPr="00D26514">
        <w:t xml:space="preserve">Table X.1-1 lists the transactions for each actor directly involved in the </w:t>
      </w:r>
      <w:r w:rsidR="00C625FC">
        <w:t>MHD-HIE</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4646371A" w:rsidR="00E6404A" w:rsidRDefault="00A62DB8">
      <w:pPr>
        <w:pStyle w:val="BodyText"/>
      </w:pPr>
      <w:r>
        <w:t>The Document Sharing Health Information Exchange will also host a set of Service endpoints as shown in Figure X.1.1-1</w:t>
      </w:r>
      <w:proofErr w:type="gramStart"/>
      <w:r>
        <w:t xml:space="preserve">. </w:t>
      </w:r>
      <w:proofErr w:type="gramEnd"/>
      <w:r>
        <w:t xml:space="preserve">These provide services to the Document Sharing Community (aka Community): </w:t>
      </w:r>
      <w:r w:rsidRPr="00A62DB8">
        <w:rPr>
          <w:highlight w:val="yellow"/>
        </w:rPr>
        <w:t>TODO-Make sure these actor names are right</w:t>
      </w:r>
    </w:p>
    <w:p w14:paraId="5F3127B9" w14:textId="640CBF84" w:rsidR="00A62DB8" w:rsidRDefault="00A62DB8" w:rsidP="00A62DB8">
      <w:pPr>
        <w:pStyle w:val="BodyText"/>
        <w:numPr>
          <w:ilvl w:val="0"/>
          <w:numId w:val="22"/>
        </w:numPr>
      </w:pPr>
      <w:r w:rsidRPr="00A62DB8">
        <w:rPr>
          <w:b/>
        </w:rPr>
        <w:t>CT: Time Service</w:t>
      </w:r>
      <w:r>
        <w:t xml:space="preserve"> – to provide consistent time to all participant systems</w:t>
      </w:r>
    </w:p>
    <w:p w14:paraId="3AF836FF" w14:textId="44EF9313" w:rsidR="00A62DB8" w:rsidRDefault="00A62DB8" w:rsidP="00A62DB8">
      <w:pPr>
        <w:pStyle w:val="BodyText"/>
        <w:numPr>
          <w:ilvl w:val="0"/>
          <w:numId w:val="22"/>
        </w:numPr>
      </w:pPr>
      <w:r w:rsidRPr="00A62DB8">
        <w:rPr>
          <w:b/>
        </w:rPr>
        <w:t>ATNA – Audit Record Repository</w:t>
      </w:r>
      <w:r>
        <w:t xml:space="preserve"> – to capture audit events and provide appropriate audit log access for security and privacy use-cases</w:t>
      </w:r>
    </w:p>
    <w:p w14:paraId="21F6322A" w14:textId="14E91605" w:rsidR="00A62DB8" w:rsidRDefault="00A62DB8" w:rsidP="00A62DB8">
      <w:pPr>
        <w:pStyle w:val="BodyText"/>
        <w:numPr>
          <w:ilvl w:val="0"/>
          <w:numId w:val="22"/>
        </w:numPr>
      </w:pPr>
      <w:r w:rsidRPr="00A62DB8">
        <w:rPr>
          <w:b/>
        </w:rPr>
        <w:t>IUA – Authorization Service</w:t>
      </w:r>
      <w:r>
        <w:t xml:space="preserve"> – to enable centralized authorization </w:t>
      </w:r>
      <w:proofErr w:type="gramStart"/>
      <w:r>
        <w:t xml:space="preserve">decisions </w:t>
      </w:r>
      <w:r w:rsidRPr="00A62DB8">
        <w:rPr>
          <w:highlight w:val="yellow"/>
        </w:rPr>
        <w:t>???</w:t>
      </w:r>
      <w:proofErr w:type="gramEnd"/>
    </w:p>
    <w:p w14:paraId="5DA881F9" w14:textId="5EEF6B5A" w:rsidR="00A62DB8" w:rsidRDefault="00A62DB8" w:rsidP="00A62DB8">
      <w:pPr>
        <w:pStyle w:val="BodyText"/>
        <w:numPr>
          <w:ilvl w:val="0"/>
          <w:numId w:val="22"/>
        </w:numPr>
      </w:pPr>
      <w:r w:rsidRPr="00A62DB8">
        <w:rPr>
          <w:b/>
        </w:rPr>
        <w:t>PRIM – Patient Manager</w:t>
      </w:r>
      <w:r>
        <w:t xml:space="preserve"> – to provide patient identity lookup by demographics or identity, and to receive create and update of patient identity from participants</w:t>
      </w:r>
    </w:p>
    <w:p w14:paraId="5BE689B0" w14:textId="35F5D697" w:rsidR="00A62DB8" w:rsidRDefault="00A62DB8" w:rsidP="00A62DB8">
      <w:pPr>
        <w:pStyle w:val="BodyText"/>
        <w:numPr>
          <w:ilvl w:val="1"/>
          <w:numId w:val="22"/>
        </w:numPr>
      </w:pPr>
      <w:r w:rsidRPr="00A62DB8">
        <w:rPr>
          <w:b/>
        </w:rPr>
        <w:t>PIXm – Patient Manager</w:t>
      </w:r>
      <w:r>
        <w:t xml:space="preserve"> – Patient Identity cross-reference lookup</w:t>
      </w:r>
    </w:p>
    <w:p w14:paraId="33363434" w14:textId="5B59EC67" w:rsidR="00A62DB8" w:rsidRDefault="00A62DB8" w:rsidP="00A62DB8">
      <w:pPr>
        <w:pStyle w:val="BodyText"/>
        <w:numPr>
          <w:ilvl w:val="1"/>
          <w:numId w:val="22"/>
        </w:numPr>
      </w:pPr>
      <w:r w:rsidRPr="00A62DB8">
        <w:rPr>
          <w:b/>
        </w:rPr>
        <w:t>PDQm – Patient Manger</w:t>
      </w:r>
      <w:r>
        <w:t xml:space="preserve"> – Patient Identity lookup by demographics</w:t>
      </w:r>
    </w:p>
    <w:p w14:paraId="23CF1033" w14:textId="06E667CE" w:rsidR="00A62DB8" w:rsidRDefault="00A62DB8" w:rsidP="00A62DB8">
      <w:pPr>
        <w:pStyle w:val="BodyText"/>
        <w:numPr>
          <w:ilvl w:val="0"/>
          <w:numId w:val="22"/>
        </w:numPr>
      </w:pPr>
      <w:proofErr w:type="spellStart"/>
      <w:r w:rsidRPr="00A62DB8">
        <w:rPr>
          <w:b/>
        </w:rPr>
        <w:lastRenderedPageBreak/>
        <w:t>SVSm</w:t>
      </w:r>
      <w:proofErr w:type="spellEnd"/>
      <w:r w:rsidRPr="00A62DB8">
        <w:rPr>
          <w:b/>
        </w:rPr>
        <w:t xml:space="preserve"> – Vocabulary Registry</w:t>
      </w:r>
      <w:r>
        <w:t xml:space="preserve"> – Provide vocabulary and </w:t>
      </w:r>
      <w:proofErr w:type="spellStart"/>
      <w:r>
        <w:t>valueset</w:t>
      </w:r>
      <w:proofErr w:type="spellEnd"/>
      <w:r>
        <w:t xml:space="preserve"> management within the Community</w:t>
      </w:r>
    </w:p>
    <w:p w14:paraId="5028EC87" w14:textId="1459D205" w:rsidR="00A62DB8" w:rsidRDefault="00A62DB8" w:rsidP="00A62DB8">
      <w:pPr>
        <w:pStyle w:val="BodyText"/>
        <w:numPr>
          <w:ilvl w:val="0"/>
          <w:numId w:val="22"/>
        </w:numPr>
      </w:pPr>
      <w:r w:rsidRPr="00A62DB8">
        <w:rPr>
          <w:b/>
        </w:rPr>
        <w:t>mCSD – Provider Directory</w:t>
      </w:r>
      <w:r>
        <w:t xml:space="preserve"> – Provide endpoint lookup and optionally provider identity management</w:t>
      </w:r>
    </w:p>
    <w:p w14:paraId="54DAD618" w14:textId="08FDE414" w:rsidR="00A62DB8" w:rsidRDefault="00A62DB8" w:rsidP="00A62DB8">
      <w:pPr>
        <w:pStyle w:val="BodyText"/>
        <w:numPr>
          <w:ilvl w:val="0"/>
          <w:numId w:val="22"/>
        </w:numPr>
      </w:pPr>
      <w:r w:rsidRPr="00A62DB8">
        <w:rPr>
          <w:b/>
        </w:rPr>
        <w:t>NPFS – File Manager</w:t>
      </w:r>
      <w:r>
        <w:t xml:space="preserve"> – Provide files that are needed in the community but are not patient specific such as policy documents</w:t>
      </w:r>
    </w:p>
    <w:p w14:paraId="05E08576" w14:textId="6F28F78F" w:rsidR="00A62DB8" w:rsidRDefault="00A62DB8" w:rsidP="00A62DB8">
      <w:pPr>
        <w:pStyle w:val="BodyText"/>
        <w:numPr>
          <w:ilvl w:val="0"/>
          <w:numId w:val="22"/>
        </w:numPr>
      </w:pPr>
      <w:r w:rsidRPr="00A62DB8">
        <w:rPr>
          <w:b/>
        </w:rPr>
        <w:t>mXDE – Data Element Extractor</w:t>
      </w:r>
      <w:r>
        <w:t xml:space="preserve"> – to enable QEDm access to data elements derived from published documents</w:t>
      </w:r>
    </w:p>
    <w:p w14:paraId="0F23785C" w14:textId="4B87A707" w:rsidR="00A62DB8" w:rsidRDefault="00A62DB8" w:rsidP="00A62DB8">
      <w:pPr>
        <w:pStyle w:val="BodyText"/>
        <w:numPr>
          <w:ilvl w:val="1"/>
          <w:numId w:val="22"/>
        </w:numPr>
      </w:pPr>
      <w:r w:rsidRPr="00A62DB8">
        <w:rPr>
          <w:b/>
        </w:rPr>
        <w:t>QEDm – Clinical Data Source</w:t>
      </w:r>
      <w:r>
        <w:t xml:space="preserve"> – to enable access to data elements (aka FHIR clinical Resources)</w:t>
      </w:r>
    </w:p>
    <w:p w14:paraId="2E1F9DAC" w14:textId="7A9CEA01" w:rsidR="00A62DB8" w:rsidRDefault="00A62DB8" w:rsidP="00A62DB8">
      <w:pPr>
        <w:pStyle w:val="BodyText"/>
        <w:numPr>
          <w:ilvl w:val="0"/>
          <w:numId w:val="22"/>
        </w:numPr>
      </w:pPr>
      <w:proofErr w:type="spellStart"/>
      <w:r w:rsidRPr="00A62DB8">
        <w:rPr>
          <w:b/>
        </w:rPr>
        <w:t>mACM</w:t>
      </w:r>
      <w:proofErr w:type="spellEnd"/>
      <w:r w:rsidRPr="00A62DB8">
        <w:rPr>
          <w:b/>
        </w:rPr>
        <w:t xml:space="preserve"> – Alert Communication Manager</w:t>
      </w:r>
      <w:r>
        <w:t xml:space="preserve"> – to enable community supported alert communications</w:t>
      </w:r>
    </w:p>
    <w:p w14:paraId="4E8A0BE6" w14:textId="4C611F95" w:rsidR="00E6404A" w:rsidRPr="00D26514" w:rsidRDefault="00A62DB8">
      <w:pPr>
        <w:pStyle w:val="BodyText"/>
      </w:pPr>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p>
    <w:p w14:paraId="193978ED" w14:textId="6654E8F7" w:rsidR="00CF283F" w:rsidRPr="00D26514" w:rsidRDefault="00CF283F" w:rsidP="00C56183">
      <w:pPr>
        <w:pStyle w:val="TableTitle"/>
      </w:pPr>
      <w:r w:rsidRPr="00D26514">
        <w:t>Table X.1-1</w:t>
      </w:r>
      <w:r w:rsidR="001606A7" w:rsidRPr="00D26514">
        <w:t>:</w:t>
      </w:r>
      <w:r w:rsidRPr="00D26514">
        <w:t xml:space="preserve"> </w:t>
      </w:r>
      <w:r w:rsidR="00A62DB8">
        <w:t>MHD-HIE</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9"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9"/>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71"/>
      <w:bookmarkEnd w:id="72"/>
      <w:bookmarkEnd w:id="73"/>
      <w:bookmarkEnd w:id="74"/>
      <w:bookmarkEnd w:id="75"/>
      <w:bookmarkEnd w:id="76"/>
      <w:bookmarkEnd w:id="77"/>
      <w:bookmarkEnd w:id="78"/>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80" w:name="_Toc345074652"/>
      <w:bookmarkStart w:id="81"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80"/>
      <w:bookmarkEnd w:id="81"/>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4F7FCE5A" w:rsidR="006914C9" w:rsidRDefault="006914C9" w:rsidP="00395932">
      <w:pPr>
        <w:pStyle w:val="BodyText"/>
      </w:pPr>
      <w:r>
        <w:t xml:space="preserve">There is presumed to be some Health Information Exchange (HIE) authority that manages the configuration of the Community. This includes specification of an appropriate Certificate Authority, Time Source, Domain Name Service, </w:t>
      </w:r>
      <w:proofErr w:type="spellStart"/>
      <w:r>
        <w:t>SVSm</w:t>
      </w:r>
      <w:proofErr w:type="spellEnd"/>
      <w:r>
        <w:t xml:space="preserve"> Service, mCSD Directory, ATNA Audit Record Repository, PRIM Patient 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544A522C" w:rsidR="006914C9" w:rsidRDefault="006914C9" w:rsidP="00395932">
      <w:pPr>
        <w:pStyle w:val="BodyText"/>
      </w:pPr>
      <w:r>
        <w:t xml:space="preserve">The HIE authority is responsible for setting criteria for Patient Identity quality criteria including the minimally acceptable Patient </w:t>
      </w:r>
      <w:r w:rsidR="00A62DB8">
        <w:t xml:space="preserve">identity </w:t>
      </w:r>
      <w:r>
        <w:t>constraints</w:t>
      </w:r>
      <w:proofErr w:type="gramStart"/>
      <w:r w:rsidR="00A62DB8">
        <w:t xml:space="preserve">. </w:t>
      </w:r>
      <w:proofErr w:type="gramEnd"/>
      <w:r w:rsidR="00A62DB8">
        <w:t>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lastRenderedPageBreak/>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82" w:name="_Toc345074653"/>
      <w:bookmarkStart w:id="83" w:name="_Toc500238753"/>
      <w:r w:rsidRPr="00D26514">
        <w:rPr>
          <w:noProof w:val="0"/>
        </w:rPr>
        <w:t xml:space="preserve">X.1.1.1 </w:t>
      </w:r>
      <w:bookmarkEnd w:id="82"/>
      <w:bookmarkEnd w:id="83"/>
      <w:r w:rsidR="00395932">
        <w:rPr>
          <w:noProof w:val="0"/>
        </w:rPr>
        <w:t>Document Registry</w:t>
      </w:r>
    </w:p>
    <w:p w14:paraId="636E5E0E" w14:textId="2415DD7A"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 however the details of this mechanism is not further defined.</w:t>
      </w:r>
      <w:r w:rsidR="00A62DB8">
        <w:t xml:space="preserve"> </w:t>
      </w:r>
      <w:r w:rsidR="00A62DB8" w:rsidRPr="00A62DB8">
        <w:rPr>
          <w:highlight w:val="yellow"/>
        </w:rPr>
        <w:t>TODO: our SNIF potential profile might fill this gap.</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5DE5A26" w:rsidR="006914C9" w:rsidRDefault="006914C9" w:rsidP="00CC0693">
      <w:pPr>
        <w:pStyle w:val="BodyText"/>
      </w:pPr>
      <w:r>
        <w:t>The Document Registry SHALL obtain a Digital Certificate from a HIE defined Certificate Authority.</w:t>
      </w:r>
    </w:p>
    <w:p w14:paraId="6E3552EC" w14:textId="051B75FF"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 defined audit events that are in the control of the Document Registry.</w:t>
      </w:r>
    </w:p>
    <w:p w14:paraId="0883101C" w14:textId="77777777" w:rsidR="00CC0693" w:rsidRDefault="00CC0693" w:rsidP="00CC0693">
      <w:pPr>
        <w:pStyle w:val="Heading5"/>
      </w:pPr>
      <w:r>
        <w:t>When the grouped MHD – Document Recipient – is triggered</w:t>
      </w:r>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3B2C78B3" w:rsidR="001528A1" w:rsidRDefault="001528A1" w:rsidP="00783E5A">
      <w:pPr>
        <w:pStyle w:val="AuthorInstructions"/>
        <w:numPr>
          <w:ilvl w:val="0"/>
          <w:numId w:val="23"/>
        </w:numPr>
        <w:rPr>
          <w:i w:val="0"/>
        </w:rPr>
      </w:pPr>
      <w:r>
        <w:rPr>
          <w:i w:val="0"/>
        </w:rPr>
        <w:t>The Document Registry SHALL confirm the client identity using the IUA profile</w:t>
      </w:r>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27CEAE06" w:rsidR="00A62DB8" w:rsidRPr="00A62DB8" w:rsidRDefault="00A62DB8" w:rsidP="00A62DB8">
      <w:pPr>
        <w:pStyle w:val="AuthorInstructions"/>
        <w:numPr>
          <w:ilvl w:val="0"/>
          <w:numId w:val="23"/>
        </w:numPr>
        <w:rPr>
          <w:i w:val="0"/>
        </w:rPr>
      </w:pPr>
      <w:r>
        <w:rPr>
          <w:i w:val="0"/>
        </w:rPr>
        <w:t>The Document Registry SHALL validate that the subject of the DocumentReference, DocumentManifest, and List resources is the same Patient, and that Patient is a recognized Patient within the Community. The Patient identity must be recognized by the approved PRIM Patient Manager system. This may be accomplished by a query of the PRIM manager, by way of a cached internal patient database, or other means.</w:t>
      </w:r>
    </w:p>
    <w:p w14:paraId="6E00591F" w14:textId="27A153EB"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request is valid. If any of the data are found to be not valid then the transaction shall be rejected.</w:t>
      </w:r>
    </w:p>
    <w:p w14:paraId="07D9D057" w14:textId="6E9145EA" w:rsidR="001528A1" w:rsidRDefault="001528A1" w:rsidP="00783E5A">
      <w:pPr>
        <w:pStyle w:val="AuthorInstructions"/>
        <w:numPr>
          <w:ilvl w:val="0"/>
          <w:numId w:val="23"/>
        </w:numPr>
        <w:rPr>
          <w:i w:val="0"/>
        </w:rPr>
      </w:pPr>
      <w:r>
        <w:rPr>
          <w:i w:val="0"/>
        </w:rPr>
        <w:t xml:space="preserve">The Document Registry SHALL use the grouped </w:t>
      </w:r>
      <w:proofErr w:type="spellStart"/>
      <w:r>
        <w:rPr>
          <w:i w:val="0"/>
        </w:rPr>
        <w:t>SVSm</w:t>
      </w:r>
      <w:proofErr w:type="spellEnd"/>
      <w:r>
        <w:rPr>
          <w:i w:val="0"/>
        </w:rPr>
        <w:t xml:space="preserve">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lastRenderedPageBreak/>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77777777" w:rsidR="006914C9" w:rsidRDefault="006914C9" w:rsidP="00783E5A">
      <w:pPr>
        <w:pStyle w:val="AuthorInstructions"/>
        <w:numPr>
          <w:ilvl w:val="0"/>
          <w:numId w:val="23"/>
        </w:numPr>
        <w:rPr>
          <w:i w:val="0"/>
        </w:rPr>
      </w:pPr>
      <w:r>
        <w:rPr>
          <w:i w:val="0"/>
        </w:rPr>
        <w:t>The Document Registry SHALL record success and failure events into the ATNA audit record repository.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r>
        <w:t>When the grouped MHD – Document Responder – is triggered</w:t>
      </w:r>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77777777" w:rsidR="001528A1" w:rsidRDefault="001528A1" w:rsidP="00783E5A">
      <w:pPr>
        <w:pStyle w:val="AuthorInstructions"/>
        <w:numPr>
          <w:ilvl w:val="0"/>
          <w:numId w:val="24"/>
        </w:numPr>
        <w:rPr>
          <w:i w:val="0"/>
        </w:rPr>
      </w:pPr>
      <w:r>
        <w:rPr>
          <w:i w:val="0"/>
        </w:rPr>
        <w:t>The Document Registry SHALL confirm the client identity using the IUA profile</w:t>
      </w:r>
    </w:p>
    <w:p w14:paraId="2E2A0548" w14:textId="49A5C927"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 specific Consent Directives.</w:t>
      </w:r>
    </w:p>
    <w:p w14:paraId="5029540F" w14:textId="3289C7C4" w:rsidR="00A62DB8" w:rsidRPr="00A62DB8" w:rsidRDefault="00A62DB8" w:rsidP="00A62DB8">
      <w:pPr>
        <w:pStyle w:val="AuthorInstructions"/>
        <w:numPr>
          <w:ilvl w:val="0"/>
          <w:numId w:val="24"/>
        </w:numPr>
        <w:rPr>
          <w:i w:val="0"/>
        </w:rPr>
      </w:pPr>
      <w:r>
        <w:rPr>
          <w:i w:val="0"/>
        </w:rPr>
        <w:t xml:space="preserve">The Document Registry SHALL validate that the subject of </w:t>
      </w:r>
      <w:r>
        <w:rPr>
          <w:i w:val="0"/>
        </w:rPr>
        <w:t xml:space="preserve">the find request </w:t>
      </w:r>
      <w:r>
        <w:rPr>
          <w:i w:val="0"/>
        </w:rPr>
        <w:t xml:space="preserve">is </w:t>
      </w:r>
      <w:r>
        <w:rPr>
          <w:i w:val="0"/>
        </w:rPr>
        <w:t>a</w:t>
      </w:r>
      <w:r>
        <w:rPr>
          <w:i w:val="0"/>
        </w:rPr>
        <w:t xml:space="preserve"> Patient</w:t>
      </w:r>
      <w:r>
        <w:rPr>
          <w:i w:val="0"/>
        </w:rPr>
        <w:t xml:space="preserve"> that</w:t>
      </w:r>
      <w:r>
        <w:rPr>
          <w:i w:val="0"/>
        </w:rPr>
        <w:t xml:space="preserve"> is a recognized Patient within the Community. The Patient identity must be recognized by the approved PRIM Patient Manager system. This may be accomplished by a query of the PRIM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5B4623E7" w:rsidR="00CC0693" w:rsidRDefault="00CC0693" w:rsidP="00CC0693">
      <w:pPr>
        <w:pStyle w:val="Heading4"/>
      </w:pPr>
      <w:r>
        <w:t>When the grouped PRIM – Patient Identity Consumer – is triggered</w:t>
      </w:r>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1FDB3163" w:rsidR="00CC0693" w:rsidRDefault="001528A1" w:rsidP="00665A0A">
      <w:pPr>
        <w:pStyle w:val="AuthorInstructions"/>
        <w:rPr>
          <w:i w:val="0"/>
        </w:rPr>
      </w:pPr>
      <w:r>
        <w:rPr>
          <w:i w:val="0"/>
        </w:rPr>
        <w:t>No behavior is expected of create or update, although the Document Registry is free to consume and persist for undefined reasons</w:t>
      </w:r>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7AC00FE7" w:rsidR="00CF283F" w:rsidRDefault="00CF283F" w:rsidP="00303E20">
      <w:pPr>
        <w:pStyle w:val="Heading2"/>
        <w:numPr>
          <w:ilvl w:val="0"/>
          <w:numId w:val="0"/>
        </w:numPr>
        <w:rPr>
          <w:noProof w:val="0"/>
        </w:rPr>
      </w:pPr>
      <w:bookmarkStart w:id="84" w:name="_Toc345074655"/>
      <w:bookmarkStart w:id="85" w:name="_Toc500238755"/>
      <w:r w:rsidRPr="00D26514">
        <w:rPr>
          <w:noProof w:val="0"/>
        </w:rPr>
        <w:t xml:space="preserve">X.2 </w:t>
      </w:r>
      <w:r w:rsidR="00A62DB8">
        <w:rPr>
          <w:noProof w:val="0"/>
        </w:rPr>
        <w:t>MHD-HIE</w:t>
      </w:r>
      <w:r w:rsidR="00104BE6" w:rsidRPr="00D26514">
        <w:rPr>
          <w:noProof w:val="0"/>
        </w:rPr>
        <w:t xml:space="preserve"> Actor</w:t>
      </w:r>
      <w:r w:rsidRPr="00D26514">
        <w:rPr>
          <w:noProof w:val="0"/>
        </w:rPr>
        <w:t xml:space="preserve"> Options</w:t>
      </w:r>
      <w:bookmarkEnd w:id="84"/>
      <w:bookmarkEnd w:id="85"/>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proofErr w:type="gramStart"/>
      <w:r>
        <w:rPr>
          <w:highlight w:val="yellow"/>
        </w:rPr>
        <w:t xml:space="preserve">. </w:t>
      </w:r>
      <w:proofErr w:type="gramEnd"/>
      <w:r>
        <w:rPr>
          <w:highlight w:val="yellow"/>
        </w:rPr>
        <w:t xml:space="preserve">I presume the way the options are </w:t>
      </w:r>
      <w:proofErr w:type="spellStart"/>
      <w:r>
        <w:rPr>
          <w:highlight w:val="yellow"/>
        </w:rPr>
        <w:t>defiend</w:t>
      </w:r>
      <w:proofErr w:type="spellEnd"/>
      <w:r>
        <w:rPr>
          <w:highlight w:val="yellow"/>
        </w:rPr>
        <w:t xml:space="preserve"> in IHE that they must be applied to an Actor</w:t>
      </w:r>
      <w:proofErr w:type="gramStart"/>
      <w:r>
        <w:rPr>
          <w:highlight w:val="yellow"/>
        </w:rPr>
        <w:t xml:space="preserve">. </w:t>
      </w:r>
      <w:proofErr w:type="gramEnd"/>
      <w:r>
        <w:rPr>
          <w:highlight w:val="yellow"/>
        </w:rPr>
        <w:t>So today this means that options can only apply to the Document Registry, unless we pull in other actors</w:t>
      </w:r>
      <w:proofErr w:type="gramStart"/>
      <w:r>
        <w:rPr>
          <w:highlight w:val="yellow"/>
        </w:rPr>
        <w:t xml:space="preserve">. </w:t>
      </w:r>
      <w:proofErr w:type="gramEnd"/>
      <w:r>
        <w:rPr>
          <w:highlight w:val="yellow"/>
        </w:rPr>
        <w:t xml:space="preserve">Right </w:t>
      </w:r>
      <w:proofErr w:type="gramStart"/>
      <w:r>
        <w:rPr>
          <w:highlight w:val="yellow"/>
        </w:rPr>
        <w:t>now</w:t>
      </w:r>
      <w:proofErr w:type="gramEnd"/>
      <w:r>
        <w:rPr>
          <w:highlight w:val="yellow"/>
        </w:rPr>
        <w:t xml:space="preserve">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3493F96A" w:rsidR="007F5664" w:rsidRPr="00D26514" w:rsidRDefault="00C625FC" w:rsidP="007F5664">
            <w:pPr>
              <w:pStyle w:val="TableEntry"/>
            </w:pPr>
            <w:r>
              <w:t>Alert Communications</w:t>
            </w:r>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C625FC">
        <w:trPr>
          <w:cantSplit/>
        </w:trPr>
        <w:tc>
          <w:tcPr>
            <w:tcW w:w="3110"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22" w:type="dxa"/>
            <w:tcBorders>
              <w:left w:val="single" w:sz="4" w:space="0" w:color="auto"/>
            </w:tcBorders>
          </w:tcPr>
          <w:p w14:paraId="228E3903" w14:textId="4C926EC6" w:rsidR="007F5664" w:rsidRPr="00D26514" w:rsidRDefault="00C625FC" w:rsidP="00EA3BCB">
            <w:pPr>
              <w:pStyle w:val="TableEntry"/>
            </w:pPr>
            <w:r>
              <w:t>PRIM Query Option</w:t>
            </w:r>
          </w:p>
        </w:tc>
        <w:tc>
          <w:tcPr>
            <w:tcW w:w="3118" w:type="dxa"/>
          </w:tcPr>
          <w:p w14:paraId="452DE767" w14:textId="27E33359" w:rsidR="007F5664" w:rsidRPr="00D26514" w:rsidRDefault="00C625FC" w:rsidP="00EA3BCB">
            <w:pPr>
              <w:pStyle w:val="TableEntry"/>
            </w:pPr>
            <w:r>
              <w:t>X.2.4</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86" w:name="_Toc345074656"/>
      <w:bookmarkStart w:id="87" w:name="_Toc500238756"/>
      <w:r w:rsidRPr="00D26514">
        <w:rPr>
          <w:noProof w:val="0"/>
        </w:rPr>
        <w:t>X.2.1</w:t>
      </w:r>
      <w:bookmarkEnd w:id="86"/>
      <w:bookmarkEnd w:id="87"/>
      <w:r w:rsidR="00C625FC">
        <w:rPr>
          <w:noProof w:val="0"/>
        </w:rPr>
        <w:t xml:space="preserve"> Authorization Option</w:t>
      </w:r>
    </w:p>
    <w:p w14:paraId="464024E0" w14:textId="182861D2" w:rsidR="00787B2D" w:rsidRPr="00C625FC" w:rsidRDefault="00C625FC" w:rsidP="00597DB2">
      <w:pPr>
        <w:pStyle w:val="AuthorInstructions"/>
        <w:rPr>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r w:rsidRPr="00C625FC">
        <w:rPr>
          <w:i w:val="0"/>
          <w:highlight w:val="yellow"/>
        </w:rPr>
        <w:t>TODO: Fill details</w:t>
      </w:r>
    </w:p>
    <w:p w14:paraId="304442B3" w14:textId="3292FEEC" w:rsidR="00C625FC" w:rsidRPr="00D26514" w:rsidRDefault="00C625FC" w:rsidP="00C625FC">
      <w:pPr>
        <w:pStyle w:val="Heading3"/>
        <w:numPr>
          <w:ilvl w:val="0"/>
          <w:numId w:val="0"/>
        </w:numPr>
        <w:ind w:left="720" w:hanging="720"/>
        <w:rPr>
          <w:noProof w:val="0"/>
        </w:rPr>
      </w:pPr>
      <w:bookmarkStart w:id="88" w:name="_Toc345074657"/>
      <w:bookmarkStart w:id="89" w:name="_Toc500238757"/>
      <w:bookmarkStart w:id="90" w:name="_Toc37034636"/>
      <w:bookmarkStart w:id="91" w:name="_Toc38846114"/>
      <w:bookmarkStart w:id="92" w:name="_Toc504625757"/>
      <w:bookmarkStart w:id="93" w:name="_Toc530206510"/>
      <w:bookmarkStart w:id="94" w:name="_Toc1388430"/>
      <w:bookmarkStart w:id="95" w:name="_Toc1388584"/>
      <w:bookmarkStart w:id="96" w:name="_Toc1456611"/>
      <w:r w:rsidRPr="00D26514">
        <w:rPr>
          <w:noProof w:val="0"/>
        </w:rPr>
        <w:t>X.2.</w:t>
      </w:r>
      <w:r>
        <w:rPr>
          <w:noProof w:val="0"/>
        </w:rPr>
        <w:t>2</w:t>
      </w:r>
      <w:r>
        <w:rPr>
          <w:noProof w:val="0"/>
        </w:rPr>
        <w:t xml:space="preserve"> </w:t>
      </w:r>
      <w:r>
        <w:rPr>
          <w:noProof w:val="0"/>
        </w:rPr>
        <w:t xml:space="preserve">Consent Manager </w:t>
      </w:r>
      <w:r>
        <w:rPr>
          <w:noProof w:val="0"/>
        </w:rPr>
        <w:t>Option</w:t>
      </w:r>
    </w:p>
    <w:p w14:paraId="45BF8F30" w14:textId="61120B12" w:rsidR="00C625FC" w:rsidRDefault="00C625FC" w:rsidP="00C625FC">
      <w:pPr>
        <w:pStyle w:val="AuthorInstructions"/>
        <w:rPr>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Pr>
          <w:i w:val="0"/>
        </w:rPr>
        <w:t xml:space="preserve"> </w:t>
      </w:r>
      <w:r w:rsidRPr="00C625FC">
        <w:rPr>
          <w:i w:val="0"/>
          <w:highlight w:val="yellow"/>
        </w:rPr>
        <w:t>TODO: Fill details</w:t>
      </w:r>
    </w:p>
    <w:p w14:paraId="0C3F9D84" w14:textId="07D96289" w:rsidR="00C625FC" w:rsidRPr="00C625FC" w:rsidRDefault="00C625FC" w:rsidP="00C625FC">
      <w:pPr>
        <w:pStyle w:val="AuthorInstructions"/>
        <w:rPr>
          <w:i w:val="0"/>
        </w:rPr>
      </w:pPr>
      <w:r>
        <w:rPr>
          <w:i w:val="0"/>
        </w:rPr>
        <w:t>When the Authorization Option is also implemented, the Authorization endpoint may be used for consent decisions as well. This functionality is not defined.</w:t>
      </w:r>
    </w:p>
    <w:p w14:paraId="1F3DD338" w14:textId="541EE82B" w:rsidR="00C625FC" w:rsidRPr="00D26514" w:rsidRDefault="00C625FC" w:rsidP="00C625FC">
      <w:pPr>
        <w:pStyle w:val="Heading3"/>
        <w:numPr>
          <w:ilvl w:val="0"/>
          <w:numId w:val="0"/>
        </w:numPr>
        <w:ind w:left="720" w:hanging="720"/>
        <w:rPr>
          <w:noProof w:val="0"/>
        </w:rPr>
      </w:pPr>
      <w:r w:rsidRPr="00D26514">
        <w:rPr>
          <w:noProof w:val="0"/>
        </w:rPr>
        <w:t>X.2.</w:t>
      </w:r>
      <w:r>
        <w:rPr>
          <w:noProof w:val="0"/>
        </w:rPr>
        <w:t>3</w:t>
      </w:r>
      <w:r>
        <w:rPr>
          <w:noProof w:val="0"/>
        </w:rPr>
        <w:t xml:space="preserve"> </w:t>
      </w:r>
      <w:r>
        <w:rPr>
          <w:noProof w:val="0"/>
        </w:rPr>
        <w:t>Alert Communications</w:t>
      </w:r>
      <w:r>
        <w:rPr>
          <w:noProof w:val="0"/>
        </w:rPr>
        <w:t xml:space="preserve"> Option</w:t>
      </w:r>
    </w:p>
    <w:p w14:paraId="21DCC138" w14:textId="206E3BC7" w:rsidR="00C625FC" w:rsidRDefault="00C625FC" w:rsidP="00C625FC">
      <w:pPr>
        <w:pStyle w:val="AuthorInstructions"/>
        <w:rPr>
          <w:i w:val="0"/>
        </w:rPr>
      </w:pPr>
      <w:r w:rsidRPr="00C625FC">
        <w:rPr>
          <w:i w:val="0"/>
        </w:rPr>
        <w:t xml:space="preserve">Document Registry </w:t>
      </w:r>
      <w:r>
        <w:rPr>
          <w:i w:val="0"/>
        </w:rPr>
        <w:t xml:space="preserve">is grouped with </w:t>
      </w:r>
      <w:proofErr w:type="spellStart"/>
      <w:r>
        <w:rPr>
          <w:i w:val="0"/>
        </w:rPr>
        <w:t>mACM</w:t>
      </w:r>
      <w:proofErr w:type="spellEnd"/>
      <w:r>
        <w:rPr>
          <w:i w:val="0"/>
        </w:rPr>
        <w:t xml:space="preserve"> Alert Communications </w:t>
      </w:r>
      <w:proofErr w:type="gramStart"/>
      <w:r>
        <w:rPr>
          <w:i w:val="0"/>
        </w:rPr>
        <w:t>Manager.</w:t>
      </w:r>
      <w:r w:rsidRPr="00C625FC">
        <w:rPr>
          <w:i w:val="0"/>
        </w:rPr>
        <w:t>.</w:t>
      </w:r>
      <w:proofErr w:type="gramEnd"/>
      <w:r>
        <w:rPr>
          <w:i w:val="0"/>
        </w:rPr>
        <w:t xml:space="preserve"> </w:t>
      </w:r>
      <w:r w:rsidRPr="00C625FC">
        <w:rPr>
          <w:i w:val="0"/>
          <w:highlight w:val="yellow"/>
        </w:rPr>
        <w:t>TODO: Fill details</w:t>
      </w:r>
    </w:p>
    <w:p w14:paraId="3FF811B1" w14:textId="3287FB4A" w:rsidR="00C625FC" w:rsidRDefault="00C625FC" w:rsidP="00C625FC">
      <w:pPr>
        <w:pStyle w:val="AuthorInstructions"/>
        <w:rPr>
          <w:i w:val="0"/>
        </w:rPr>
      </w:pPr>
      <w:r>
        <w:rPr>
          <w:i w:val="0"/>
        </w:rPr>
        <w:t xml:space="preserve">Note the Community may choose to deploy a standalone </w:t>
      </w:r>
      <w:proofErr w:type="spellStart"/>
      <w:r>
        <w:rPr>
          <w:i w:val="0"/>
        </w:rPr>
        <w:t>mACM</w:t>
      </w:r>
      <w:proofErr w:type="spellEnd"/>
      <w:r>
        <w:rPr>
          <w:i w:val="0"/>
        </w:rPr>
        <w:t xml:space="preserve"> infrastructure. The Alert Communications Option is available to indicate the system grouping with the Document Registry.</w:t>
      </w:r>
    </w:p>
    <w:p w14:paraId="191769D6" w14:textId="559C7182" w:rsidR="00C625FC" w:rsidRPr="00D26514" w:rsidRDefault="00C625FC" w:rsidP="00C625FC">
      <w:pPr>
        <w:pStyle w:val="Heading3"/>
        <w:numPr>
          <w:ilvl w:val="0"/>
          <w:numId w:val="0"/>
        </w:numPr>
        <w:ind w:left="720" w:hanging="720"/>
        <w:rPr>
          <w:noProof w:val="0"/>
        </w:rPr>
      </w:pPr>
      <w:r w:rsidRPr="00D26514">
        <w:rPr>
          <w:noProof w:val="0"/>
        </w:rPr>
        <w:lastRenderedPageBreak/>
        <w:t>X.2.</w:t>
      </w:r>
      <w:r>
        <w:rPr>
          <w:noProof w:val="0"/>
        </w:rPr>
        <w:t>4</w:t>
      </w:r>
      <w:r>
        <w:rPr>
          <w:noProof w:val="0"/>
        </w:rPr>
        <w:t xml:space="preserve"> </w:t>
      </w:r>
      <w:r>
        <w:rPr>
          <w:noProof w:val="0"/>
        </w:rPr>
        <w:t xml:space="preserve">PRIM Client </w:t>
      </w:r>
      <w:r>
        <w:rPr>
          <w:noProof w:val="0"/>
        </w:rPr>
        <w:t>Option</w:t>
      </w:r>
    </w:p>
    <w:p w14:paraId="3243E520" w14:textId="00001DC1" w:rsidR="00C625FC" w:rsidRDefault="00C625FC" w:rsidP="00C625FC">
      <w:pPr>
        <w:pStyle w:val="AuthorInstructions"/>
        <w:rPr>
          <w:i w:val="0"/>
        </w:rPr>
      </w:pPr>
      <w:r w:rsidRPr="00C625FC">
        <w:rPr>
          <w:i w:val="0"/>
        </w:rPr>
        <w:t xml:space="preserve">Document Registry </w:t>
      </w:r>
      <w:r>
        <w:rPr>
          <w:i w:val="0"/>
        </w:rPr>
        <w:t xml:space="preserve">is grouped with </w:t>
      </w:r>
      <w:r>
        <w:rPr>
          <w:i w:val="0"/>
        </w:rPr>
        <w:t xml:space="preserve">PRIM </w:t>
      </w:r>
      <w:proofErr w:type="gramStart"/>
      <w:r>
        <w:rPr>
          <w:i w:val="0"/>
        </w:rPr>
        <w:t>Client</w:t>
      </w:r>
      <w:r>
        <w:rPr>
          <w:i w:val="0"/>
        </w:rPr>
        <w:t>.</w:t>
      </w:r>
      <w:r w:rsidRPr="00C625FC">
        <w:rPr>
          <w:i w:val="0"/>
        </w:rPr>
        <w:t>.</w:t>
      </w:r>
      <w:proofErr w:type="gramEnd"/>
      <w:r>
        <w:rPr>
          <w:i w:val="0"/>
        </w:rPr>
        <w:t xml:space="preserve"> </w:t>
      </w:r>
      <w:r w:rsidRPr="00C625FC">
        <w:rPr>
          <w:i w:val="0"/>
          <w:highlight w:val="yellow"/>
        </w:rPr>
        <w:t>TODO: Fill details</w:t>
      </w:r>
    </w:p>
    <w:p w14:paraId="71B9C0CF" w14:textId="22EE0C6F" w:rsidR="00C625FC" w:rsidRPr="00C625FC" w:rsidRDefault="00C625FC" w:rsidP="00C625FC">
      <w:pPr>
        <w:pStyle w:val="AuthorInstructions"/>
        <w:rPr>
          <w:i w:val="0"/>
        </w:rPr>
      </w:pPr>
      <w:r>
        <w:rPr>
          <w:i w:val="0"/>
        </w:rPr>
        <w:t>To enable external PRIM Patient Identity Manager that is queried as needed</w:t>
      </w:r>
      <w:r>
        <w:rPr>
          <w:i w:val="0"/>
        </w:rPr>
        <w:t>.</w:t>
      </w:r>
      <w:r>
        <w:rPr>
          <w:i w:val="0"/>
        </w:rPr>
        <w:t xml:space="preserve"> The Document Registry receives all the Patient Identity Feed data, but may choose not to persist, thus would use the PRIM Client Option to query an external PRIM Patient Identity Manager.</w:t>
      </w:r>
    </w:p>
    <w:p w14:paraId="25C016F5" w14:textId="77777777" w:rsidR="00C625FC" w:rsidRPr="00C625FC" w:rsidRDefault="00C625FC" w:rsidP="00C625FC">
      <w:pPr>
        <w:pStyle w:val="AuthorInstructions"/>
        <w:rPr>
          <w:i w:val="0"/>
        </w:rPr>
      </w:pPr>
    </w:p>
    <w:p w14:paraId="25D3795F" w14:textId="4B65DEFF" w:rsidR="005F21E7" w:rsidRPr="00D26514" w:rsidRDefault="005F21E7" w:rsidP="00303E20">
      <w:pPr>
        <w:pStyle w:val="Heading2"/>
        <w:numPr>
          <w:ilvl w:val="0"/>
          <w:numId w:val="0"/>
        </w:numPr>
        <w:rPr>
          <w:noProof w:val="0"/>
        </w:rPr>
      </w:pPr>
      <w:r w:rsidRPr="00D26514">
        <w:rPr>
          <w:noProof w:val="0"/>
        </w:rPr>
        <w:t xml:space="preserve">X.3 </w:t>
      </w:r>
      <w:r w:rsidR="00C625FC">
        <w:rPr>
          <w:noProof w:val="0"/>
        </w:rPr>
        <w:t>MHD-HIE</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88"/>
      <w:bookmarkEnd w:id="89"/>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7BD95DAB" w:rsidR="007A15D1" w:rsidRPr="00D26514" w:rsidRDefault="00C625FC" w:rsidP="007A15D1">
            <w:pPr>
              <w:pStyle w:val="TableEntryHeader"/>
            </w:pPr>
            <w:r>
              <w:t>MHD-HIE</w:t>
            </w:r>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3EECAAB1" w:rsidR="00C625FC" w:rsidRPr="00C625FC" w:rsidRDefault="00C625FC" w:rsidP="007117B8">
            <w:pPr>
              <w:pStyle w:val="TableEntry"/>
            </w:pPr>
            <w:r>
              <w:t>Required</w:t>
            </w:r>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4D65BED4" w:rsidR="00C625FC" w:rsidRPr="00C625FC" w:rsidRDefault="00C625FC" w:rsidP="00300B8F">
            <w:pPr>
              <w:pStyle w:val="TableEntry"/>
            </w:pPr>
            <w:proofErr w:type="spellStart"/>
            <w:r>
              <w:t>SVSm</w:t>
            </w:r>
            <w:proofErr w:type="spellEnd"/>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600F5092" w14:textId="77777777" w:rsidTr="00C625FC">
        <w:trPr>
          <w:cantSplit/>
          <w:trHeight w:val="332"/>
          <w:jc w:val="center"/>
        </w:trPr>
        <w:tc>
          <w:tcPr>
            <w:tcW w:w="1885" w:type="dxa"/>
            <w:vMerge/>
          </w:tcPr>
          <w:p w14:paraId="4E21A715" w14:textId="77777777" w:rsidR="00C625FC" w:rsidRPr="00D26514" w:rsidRDefault="00C625FC" w:rsidP="007A15D1">
            <w:pPr>
              <w:pStyle w:val="TableEntry"/>
            </w:pPr>
          </w:p>
        </w:tc>
        <w:tc>
          <w:tcPr>
            <w:tcW w:w="2610" w:type="dxa"/>
            <w:vAlign w:val="center"/>
          </w:tcPr>
          <w:p w14:paraId="7C13C271" w14:textId="1788B3E4" w:rsidR="00C625FC" w:rsidRPr="00C625FC" w:rsidRDefault="00C625FC" w:rsidP="007117B8">
            <w:pPr>
              <w:pStyle w:val="TableEntry"/>
            </w:pPr>
            <w:r>
              <w:t>Required</w:t>
            </w:r>
          </w:p>
        </w:tc>
        <w:tc>
          <w:tcPr>
            <w:tcW w:w="3420" w:type="dxa"/>
            <w:vAlign w:val="center"/>
          </w:tcPr>
          <w:p w14:paraId="1D1765E2" w14:textId="315C31C5" w:rsidR="00C625FC" w:rsidRPr="00C625FC" w:rsidRDefault="00C625FC" w:rsidP="00300B8F">
            <w:pPr>
              <w:pStyle w:val="TableEntry"/>
            </w:pPr>
            <w:r>
              <w:t>PRIM – Patient Identity Consumer</w:t>
            </w:r>
          </w:p>
        </w:tc>
        <w:tc>
          <w:tcPr>
            <w:tcW w:w="1500" w:type="dxa"/>
          </w:tcPr>
          <w:p w14:paraId="25AC5A42"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1B4C1A76" w:rsidR="00C625FC" w:rsidRDefault="00C625FC" w:rsidP="007117B8">
            <w:pPr>
              <w:pStyle w:val="TableEntry"/>
            </w:pPr>
            <w:r>
              <w:t>if the PRIM Query Option</w:t>
            </w:r>
          </w:p>
        </w:tc>
        <w:tc>
          <w:tcPr>
            <w:tcW w:w="3420" w:type="dxa"/>
            <w:vAlign w:val="center"/>
          </w:tcPr>
          <w:p w14:paraId="0F78BE5D" w14:textId="054692FA" w:rsidR="00C625FC" w:rsidRDefault="00C625FC" w:rsidP="00300B8F">
            <w:pPr>
              <w:pStyle w:val="TableEntry"/>
            </w:pPr>
            <w:r>
              <w:t>PRIM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236C1420" w:rsidR="00CF283F" w:rsidRDefault="00CF283F" w:rsidP="00303E20">
      <w:pPr>
        <w:pStyle w:val="Heading2"/>
        <w:numPr>
          <w:ilvl w:val="0"/>
          <w:numId w:val="0"/>
        </w:numPr>
        <w:rPr>
          <w:noProof w:val="0"/>
        </w:rPr>
      </w:pPr>
      <w:bookmarkStart w:id="97" w:name="_Toc345074658"/>
      <w:bookmarkStart w:id="98" w:name="_Toc500238758"/>
      <w:r w:rsidRPr="00D26514">
        <w:rPr>
          <w:noProof w:val="0"/>
        </w:rPr>
        <w:t>X.</w:t>
      </w:r>
      <w:r w:rsidR="00AF472E" w:rsidRPr="00D26514">
        <w:rPr>
          <w:noProof w:val="0"/>
        </w:rPr>
        <w:t>4</w:t>
      </w:r>
      <w:r w:rsidR="005F21E7" w:rsidRPr="00D26514">
        <w:rPr>
          <w:noProof w:val="0"/>
        </w:rPr>
        <w:t xml:space="preserve"> </w:t>
      </w:r>
      <w:r w:rsidR="00C625FC">
        <w:rPr>
          <w:noProof w:val="0"/>
        </w:rPr>
        <w:t>MHD-HIE</w:t>
      </w:r>
      <w:r w:rsidRPr="00D26514">
        <w:rPr>
          <w:noProof w:val="0"/>
        </w:rPr>
        <w:t xml:space="preserve"> </w:t>
      </w:r>
      <w:bookmarkEnd w:id="90"/>
      <w:bookmarkEnd w:id="91"/>
      <w:r w:rsidR="00167DB7" w:rsidRPr="00D26514">
        <w:rPr>
          <w:noProof w:val="0"/>
        </w:rPr>
        <w:t>Overview</w:t>
      </w:r>
      <w:bookmarkEnd w:id="97"/>
      <w:bookmarkEnd w:id="98"/>
    </w:p>
    <w:p w14:paraId="7E658E63" w14:textId="332AF85D" w:rsidR="00C625FC" w:rsidRPr="00C625FC" w:rsidRDefault="00C625FC" w:rsidP="003A09FE">
      <w:pPr>
        <w:pStyle w:val="BodyText"/>
        <w:rPr>
          <w:rFonts w:ascii="Segoe UI" w:hAnsi="Segoe UI" w:cs="Segoe UI"/>
          <w:color w:val="9C7DBE"/>
          <w:u w:val="single"/>
        </w:rPr>
      </w:pPr>
      <w:r>
        <w:t xml:space="preserve">Note this section is adapted from the IHE Whitepaper </w:t>
      </w:r>
      <w:hyperlink r:id="rId38" w:tgtFrame="_blank" w:tooltip="Health Information Exchange: Enabling Document Sharing Using IHE Profiles" w:history="1">
        <w:r>
          <w:rPr>
            <w:rStyle w:val="Hyperlink"/>
            <w:rFonts w:ascii="Segoe UI" w:hAnsi="Segoe UI" w:cs="Segoe UI"/>
            <w:color w:val="9C7DBE"/>
          </w:rPr>
          <w:t>Health Information Exchange: Enabling Document Sharing Using IHE Profiles</w:t>
        </w:r>
      </w:hyperlink>
      <w:r>
        <w:rPr>
          <w:rStyle w:val="Hyperlink"/>
          <w:rFonts w:ascii="Segoe UI" w:hAnsi="Segoe UI" w:cs="Segoe UI"/>
          <w:color w:val="9C7DBE"/>
        </w:rPr>
        <w:t>.</w:t>
      </w:r>
      <w:r>
        <w:rPr>
          <w:rFonts w:ascii="Segoe UI" w:hAnsi="Segoe UI" w:cs="Segoe UI"/>
          <w:color w:val="9C7DBE"/>
          <w:u w:val="single"/>
        </w:rPr>
        <w:t xml:space="preserve"> </w:t>
      </w:r>
      <w:r w:rsidRPr="00C625FC">
        <w:rPr>
          <w:iCs/>
        </w:rPr>
        <w:t xml:space="preserve"> The adaption is to the specifics of th</w:t>
      </w:r>
      <w:r>
        <w:rPr>
          <w:iCs/>
        </w:rPr>
        <w:t>e MHD-HIE</w:t>
      </w:r>
      <w:r w:rsidRPr="00C625FC">
        <w:rPr>
          <w:iCs/>
        </w:rPr>
        <w:t xml:space="preserve"> </w:t>
      </w:r>
      <w:commentRangeStart w:id="99"/>
      <w:r w:rsidRPr="00C625FC">
        <w:rPr>
          <w:iCs/>
        </w:rPr>
        <w:t>profile</w:t>
      </w:r>
      <w:commentRangeEnd w:id="99"/>
      <w:r>
        <w:rPr>
          <w:rStyle w:val="CommentReference"/>
        </w:rPr>
        <w:commentReference w:id="99"/>
      </w:r>
      <w:r w:rsidRPr="00C625FC">
        <w:rPr>
          <w:iCs/>
        </w:rPr>
        <w:t>.</w:t>
      </w:r>
    </w:p>
    <w:p w14:paraId="657B08B5" w14:textId="77777777" w:rsidR="00C625FC" w:rsidRDefault="00C625FC" w:rsidP="00C625FC">
      <w:pPr>
        <w:pStyle w:val="BodyText"/>
      </w:pPr>
      <w:r w:rsidRPr="00E94F9C">
        <w:lastRenderedPageBreak/>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14E7FF98" w:rsidR="003A4080" w:rsidRDefault="00C625FC" w:rsidP="003A4080">
      <w:pPr>
        <w:pStyle w:val="BodyText"/>
      </w:pPr>
      <w:r w:rsidRPr="00E94F9C">
        <w:t xml:space="preserve">The purpose of </w:t>
      </w:r>
      <w:r>
        <w:t>the MHD-HIE profile</w:t>
      </w:r>
      <w:r w:rsidRPr="00E94F9C">
        <w:t xml:space="preserve"> is to provide </w:t>
      </w:r>
      <w:r>
        <w:t xml:space="preserve">the background on the </w:t>
      </w:r>
      <w:r w:rsidRPr="00E94F9C">
        <w:t xml:space="preserve">intended </w:t>
      </w:r>
      <w:r>
        <w:t xml:space="preserve">use the specified profiles </w:t>
      </w:r>
      <w:r w:rsidRPr="00E94F9C">
        <w:t xml:space="preserve">to be used by communities for exchanging health information. The collection of profiles includes support for patient identification, health document location and retrieval, provider directories, and the protection of privacy and security. This </w:t>
      </w:r>
      <w:r>
        <w:t xml:space="preserve">profile </w:t>
      </w:r>
      <w:r w:rsidRPr="00E94F9C">
        <w:t xml:space="preserve">will show how various profiles work together to provide a </w:t>
      </w:r>
      <w:proofErr w:type="gramStart"/>
      <w:r w:rsidRPr="00E94F9C">
        <w:t>standards</w:t>
      </w:r>
      <w:proofErr w:type="gramEnd"/>
      <w:r w:rsidRPr="00E94F9C">
        <w:t xml:space="preserve"> based, interoperable approach to community health information sharing. </w:t>
      </w:r>
    </w:p>
    <w:p w14:paraId="7283282E" w14:textId="0670D5B7" w:rsidR="00C625FC" w:rsidRPr="00E94F9C" w:rsidRDefault="00C625FC" w:rsidP="00C625FC">
      <w:pPr>
        <w:pStyle w:val="BodyText"/>
      </w:pPr>
      <w:r w:rsidRPr="00E94F9C">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2DA26487" w:rsidR="00C625FC" w:rsidRPr="00EA3BCB" w:rsidRDefault="00C625FC" w:rsidP="00C625FC">
      <w:pPr>
        <w:pStyle w:val="BodyText"/>
      </w:pPr>
      <w:r w:rsidRPr="00E94F9C">
        <w:rPr>
          <w:rFonts w:cs="Arial"/>
        </w:rPr>
        <w:t>Th</w:t>
      </w:r>
      <w:r>
        <w:rPr>
          <w:rFonts w:cs="Arial"/>
        </w:rPr>
        <w:t>e MHD-HIE Profile</w:t>
      </w:r>
      <w:r w:rsidRPr="00E94F9C">
        <w:rPr>
          <w:rFonts w:cs="Arial"/>
        </w:rPr>
        <w:t xml:space="preserve"> will focus on explaining the IHE profiles 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 consider the work of the clinical IHE domains: </w:t>
      </w:r>
      <w:r w:rsidRPr="00E94F9C">
        <w:t>Anatomic Pathology; Cardiology; Eye Care; Laboratory; Patient Care Coordination; Patient Care Device; Pharmacy; Quality, Research and Public Health; Radiation Oncology; and Radiology.</w:t>
      </w:r>
    </w:p>
    <w:p w14:paraId="0B052710" w14:textId="3A3682EC" w:rsidR="00167DB7" w:rsidRPr="00D26514" w:rsidRDefault="00104BE6" w:rsidP="003D19E0">
      <w:pPr>
        <w:pStyle w:val="Heading3"/>
        <w:keepNext w:val="0"/>
        <w:numPr>
          <w:ilvl w:val="0"/>
          <w:numId w:val="0"/>
        </w:numPr>
        <w:rPr>
          <w:bCs/>
          <w:noProof w:val="0"/>
        </w:rPr>
      </w:pPr>
      <w:bookmarkStart w:id="100" w:name="_Toc345074659"/>
      <w:bookmarkStart w:id="101" w:name="_Toc500238759"/>
      <w:bookmarkStart w:id="102" w:name="OLE_LINK24"/>
      <w:r w:rsidRPr="00D26514">
        <w:rPr>
          <w:bCs/>
          <w:noProof w:val="0"/>
        </w:rPr>
        <w:t>X.</w:t>
      </w:r>
      <w:r w:rsidR="00AF472E" w:rsidRPr="00D26514">
        <w:rPr>
          <w:bCs/>
          <w:noProof w:val="0"/>
        </w:rPr>
        <w:t>4</w:t>
      </w:r>
      <w:r w:rsidR="00167DB7" w:rsidRPr="00D26514">
        <w:rPr>
          <w:bCs/>
          <w:noProof w:val="0"/>
        </w:rPr>
        <w:t xml:space="preserve">.1 </w:t>
      </w:r>
      <w:bookmarkEnd w:id="100"/>
      <w:bookmarkEnd w:id="101"/>
      <w:r w:rsidR="00C625FC">
        <w:rPr>
          <w:bCs/>
          <w:noProof w:val="0"/>
        </w:rPr>
        <w:t>Overview</w:t>
      </w:r>
    </w:p>
    <w:p w14:paraId="75072259" w14:textId="77777777" w:rsidR="00C625FC" w:rsidRPr="00E94F9C" w:rsidRDefault="00C625FC" w:rsidP="00C625FC">
      <w:pPr>
        <w:pStyle w:val="BodyText"/>
      </w:pPr>
      <w:bookmarkStart w:id="103" w:name="_Toc345074660"/>
      <w:bookmarkStart w:id="104" w:name="_Toc500238760"/>
      <w:bookmarkEnd w:id="102"/>
      <w:r w:rsidRPr="00E94F9C">
        <w:t xml:space="preserve">A health document sharing community (community) exists for the purpose of increasing the accessibility of patient health information across multiple organizations so that clinicians can make more informed decisions about the care that they provide. Today, there are many </w:t>
      </w:r>
      <w:r w:rsidRPr="00E94F9C">
        <w:lastRenderedPageBreak/>
        <w:t xml:space="preserve">communities already in production and many more are being planned. The size, nature and scope of communities varies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105"/>
      <w:proofErr w:type="spellStart"/>
      <w:r w:rsidRPr="00C625FC">
        <w:rPr>
          <w:highlight w:val="yellow"/>
        </w:rPr>
        <w:t>epSOS</w:t>
      </w:r>
      <w:commentRangeEnd w:id="105"/>
      <w:proofErr w:type="spellEnd"/>
      <w:r>
        <w:rPr>
          <w:rStyle w:val="CommentReference"/>
        </w:rPr>
        <w:commentReference w:id="105"/>
      </w:r>
      <w:r w:rsidRPr="00C625FC">
        <w:rPr>
          <w:highlight w:val="yellow"/>
        </w:rPr>
        <w:t>).</w:t>
      </w:r>
    </w:p>
    <w:p w14:paraId="00879FC5" w14:textId="570D4DDB" w:rsidR="00C625FC" w:rsidRPr="00E94F9C" w:rsidRDefault="00C625FC" w:rsidP="00C625FC">
      <w:pPr>
        <w:pStyle w:val="BodyText"/>
      </w:pPr>
      <w:r>
        <w:lastRenderedPageBreak/>
        <w:t>The MHD-HIE Profile designs a single community document sharing exchange.</w:t>
      </w:r>
    </w:p>
    <w:p w14:paraId="1062EE7F" w14:textId="2E5B414D" w:rsidR="00C625FC" w:rsidRPr="00E94F9C" w:rsidRDefault="00C625FC" w:rsidP="00C625FC">
      <w:pPr>
        <w:pStyle w:val="Heading3"/>
        <w:numPr>
          <w:ilvl w:val="0"/>
          <w:numId w:val="0"/>
        </w:numPr>
      </w:pPr>
      <w:bookmarkStart w:id="106" w:name="_Toc314042040"/>
      <w:bookmarkStart w:id="107" w:name="_Ref307920239"/>
      <w:bookmarkStart w:id="108" w:name="_Toc314820368"/>
      <w:bookmarkEnd w:id="106"/>
      <w:r w:rsidRPr="00D26514">
        <w:rPr>
          <w:bCs/>
        </w:rPr>
        <w:t>X.4.</w:t>
      </w:r>
      <w:r>
        <w:rPr>
          <w:bCs/>
        </w:rPr>
        <w:t>2</w:t>
      </w:r>
      <w:r>
        <w:rPr>
          <w:bCs/>
        </w:rPr>
        <w:t xml:space="preserve"> </w:t>
      </w:r>
      <w:r w:rsidRPr="00E94F9C">
        <w:t>Principles of IHE for Health Document Sharing</w:t>
      </w:r>
      <w:bookmarkEnd w:id="107"/>
      <w:bookmarkEnd w:id="108"/>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109" w:name="_Toc314820369"/>
      <w:r>
        <w:t xml:space="preserve">X.4.2.1 </w:t>
      </w:r>
      <w:r w:rsidRPr="00E94F9C">
        <w:t>General IHE principles</w:t>
      </w:r>
      <w:bookmarkEnd w:id="109"/>
    </w:p>
    <w:p w14:paraId="371B91BC" w14:textId="77777777" w:rsidR="00C625FC" w:rsidRPr="00E94F9C" w:rsidRDefault="00C625FC" w:rsidP="00C625FC">
      <w:pPr>
        <w:pStyle w:val="BodyText"/>
      </w:pPr>
      <w:r w:rsidRPr="00E94F9C">
        <w:t>The following general IHE principles are applicable to the set of IHE profiles used for Document Sharing:</w:t>
      </w:r>
    </w:p>
    <w:p w14:paraId="37B2A62D" w14:textId="77777777" w:rsidR="00C625FC" w:rsidRPr="00E94F9C" w:rsidRDefault="00C625FC" w:rsidP="00C625FC">
      <w:pPr>
        <w:pStyle w:val="ListBullet"/>
        <w:spacing w:before="60"/>
      </w:pPr>
      <w:r w:rsidRPr="00E94F9C">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 xml:space="preserve">IHE profiles are designed to support a wide variety of governance and policies. Because IHE supports adoption of its profiles around the world it is rarely possible to define policies that are applicable in all countries. For this </w:t>
      </w:r>
      <w:r w:rsidRPr="00E94F9C">
        <w:t>reason,</w:t>
      </w:r>
      <w:r w:rsidRPr="00E94F9C">
        <w:t xml:space="preserve">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110" w:name="_Ref307834479"/>
      <w:bookmarkStart w:id="111" w:name="_Toc314820370"/>
      <w:r>
        <w:t xml:space="preserve">X.4.2.2 </w:t>
      </w:r>
      <w:r w:rsidRPr="00E94F9C">
        <w:t>Document Sharing Governance</w:t>
      </w:r>
      <w:bookmarkEnd w:id="110"/>
      <w:bookmarkEnd w:id="111"/>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w:t>
      </w:r>
      <w:r w:rsidRPr="00E94F9C">
        <w:lastRenderedPageBreak/>
        <w:t xml:space="preserve">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w:t>
      </w:r>
      <w:r w:rsidRPr="00E94F9C">
        <w:t>Typically,</w:t>
      </w:r>
      <w:r w:rsidRPr="00E94F9C">
        <w:t xml:space="preserve">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112" w:name="_Ref307834818"/>
      <w:bookmarkStart w:id="113" w:name="_Toc314820371"/>
      <w:r>
        <w:t xml:space="preserve">X.4.2.3 </w:t>
      </w:r>
      <w:r w:rsidRPr="00E94F9C">
        <w:t>Distinction between Documents and Messages</w:t>
      </w:r>
      <w:bookmarkEnd w:id="112"/>
      <w:bookmarkEnd w:id="113"/>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w:t>
        </w:r>
        <w:r w:rsidRPr="00E94F9C">
          <w:rPr>
            <w:rStyle w:val="Hyperlink"/>
          </w:rPr>
          <w:t>u</w:t>
        </w:r>
        <w:r w:rsidRPr="00E94F9C">
          <w:rPr>
            <w:rStyle w:val="Hyperlink"/>
          </w:rPr>
          <w:t>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lastRenderedPageBreak/>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468E641E" w:rsidR="00C625FC" w:rsidRPr="00E94F9C" w:rsidRDefault="00C625FC" w:rsidP="00C625FC">
      <w:pPr>
        <w:pStyle w:val="BodyText"/>
      </w:pPr>
      <w:commentRangeStart w:id="114"/>
      <w:r>
        <w:t xml:space="preserve">The scope of ‘document’ in the MHD-HIE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114"/>
      <w:r>
        <w:rPr>
          <w:rStyle w:val="CommentReference"/>
        </w:rPr>
        <w:commentReference w:id="114"/>
      </w:r>
    </w:p>
    <w:p w14:paraId="3FCB4EAB" w14:textId="74A9C137" w:rsidR="00C625FC" w:rsidRPr="00E94F9C" w:rsidRDefault="00C625FC" w:rsidP="00C625FC">
      <w:pPr>
        <w:pStyle w:val="Heading4"/>
      </w:pPr>
      <w:bookmarkStart w:id="115" w:name="_Toc312076538"/>
      <w:bookmarkStart w:id="116" w:name="_Toc312076599"/>
      <w:bookmarkStart w:id="117" w:name="_Toc312076660"/>
      <w:bookmarkStart w:id="118" w:name="_Toc312076721"/>
      <w:bookmarkStart w:id="119" w:name="_Toc312076782"/>
      <w:bookmarkStart w:id="120" w:name="_Toc312076539"/>
      <w:bookmarkStart w:id="121" w:name="_Toc312076600"/>
      <w:bookmarkStart w:id="122" w:name="_Toc312076661"/>
      <w:bookmarkStart w:id="123" w:name="_Toc312076722"/>
      <w:bookmarkStart w:id="124" w:name="_Toc312076783"/>
      <w:bookmarkStart w:id="125" w:name="_Toc312076540"/>
      <w:bookmarkStart w:id="126" w:name="_Toc312076601"/>
      <w:bookmarkStart w:id="127" w:name="_Toc312076662"/>
      <w:bookmarkStart w:id="128" w:name="_Toc312076723"/>
      <w:bookmarkStart w:id="129" w:name="_Toc312076784"/>
      <w:bookmarkStart w:id="130" w:name="_Toc312076541"/>
      <w:bookmarkStart w:id="131" w:name="_Toc312076602"/>
      <w:bookmarkStart w:id="132" w:name="_Toc312076663"/>
      <w:bookmarkStart w:id="133" w:name="_Toc312076724"/>
      <w:bookmarkStart w:id="134" w:name="_Toc312076785"/>
      <w:bookmarkStart w:id="135" w:name="_Toc312076542"/>
      <w:bookmarkStart w:id="136" w:name="_Toc312076603"/>
      <w:bookmarkStart w:id="137" w:name="_Toc312076664"/>
      <w:bookmarkStart w:id="138" w:name="_Toc312076725"/>
      <w:bookmarkStart w:id="139" w:name="_Toc312076786"/>
      <w:bookmarkStart w:id="140" w:name="_Toc312076543"/>
      <w:bookmarkStart w:id="141" w:name="_Toc312076604"/>
      <w:bookmarkStart w:id="142" w:name="_Toc312076665"/>
      <w:bookmarkStart w:id="143" w:name="_Toc312076726"/>
      <w:bookmarkStart w:id="144" w:name="_Toc312076787"/>
      <w:bookmarkStart w:id="145" w:name="_Toc312076544"/>
      <w:bookmarkStart w:id="146" w:name="_Toc312076605"/>
      <w:bookmarkStart w:id="147" w:name="_Toc312076666"/>
      <w:bookmarkStart w:id="148" w:name="_Toc312076727"/>
      <w:bookmarkStart w:id="149" w:name="_Toc312076788"/>
      <w:bookmarkStart w:id="150" w:name="_Toc312076545"/>
      <w:bookmarkStart w:id="151" w:name="_Toc312076606"/>
      <w:bookmarkStart w:id="152" w:name="_Toc312076667"/>
      <w:bookmarkStart w:id="153" w:name="_Toc312076728"/>
      <w:bookmarkStart w:id="154" w:name="_Toc312076789"/>
      <w:bookmarkStart w:id="155" w:name="_Toc312076546"/>
      <w:bookmarkStart w:id="156" w:name="_Toc312076607"/>
      <w:bookmarkStart w:id="157" w:name="_Toc312076668"/>
      <w:bookmarkStart w:id="158" w:name="_Toc312076729"/>
      <w:bookmarkStart w:id="159" w:name="_Toc312076790"/>
      <w:bookmarkStart w:id="160" w:name="_Ref313877942"/>
      <w:bookmarkStart w:id="161" w:name="_Toc31482037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t xml:space="preserve">X.4.2.4 </w:t>
      </w:r>
      <w:r w:rsidRPr="00E94F9C">
        <w:t>Longitudinal Patient Record</w:t>
      </w:r>
      <w:bookmarkEnd w:id="160"/>
      <w:bookmarkEnd w:id="161"/>
    </w:p>
    <w:p w14:paraId="7595DABF" w14:textId="1650D805" w:rsidR="00C625FC" w:rsidRPr="00E94F9C" w:rsidRDefault="00C625FC" w:rsidP="00C625FC">
      <w:pPr>
        <w:pStyle w:val="BodyText"/>
      </w:pPr>
      <w:r w:rsidRPr="00E94F9C">
        <w:t xml:space="preserve">Building on the document concepts described above in section </w:t>
      </w:r>
      <w:r>
        <w:t>X.4.2.3</w:t>
      </w:r>
      <w:r w:rsidRPr="00E94F9C">
        <w:t xml:space="preserve"> of persistence, wholeness, stewardship and context we can identify the principle of the longitudinal patient record which is foundational and central to health document sharing. Document Sharing Communities are patient centric; and the patient identity is associated with every document shared </w:t>
      </w:r>
    </w:p>
    <w:p w14:paraId="10F5CF6B" w14:textId="2AE99408"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w:t>
      </w:r>
      <w:r w:rsidRPr="00E94F9C">
        <w:rPr>
          <w:sz w:val="23"/>
          <w:szCs w:val="23"/>
        </w:rPr>
        <w:t>Typically,</w:t>
      </w:r>
      <w:r w:rsidRPr="00E94F9C">
        <w:rPr>
          <w:sz w:val="23"/>
          <w:szCs w:val="23"/>
        </w:rPr>
        <w:t xml:space="preserve"> a patient will go through a sequence of encounters in different care settings over the course of their lifetime. With each encounter there is the potential that a provider will produce a health document that can be shared with the community. Documents shared by the provider and tracked by a centralized registry (see section</w:t>
      </w:r>
      <w:r>
        <w:rPr>
          <w:sz w:val="23"/>
          <w:szCs w:val="23"/>
        </w:rPr>
        <w:t xml:space="preserve"> X.4.3.2</w:t>
      </w:r>
      <w:r w:rsidRPr="00E94F9C">
        <w:rPr>
          <w:sz w:val="23"/>
          <w:szCs w:val="23"/>
        </w:rPr>
        <w:t>) or federation of communities (see section</w:t>
      </w:r>
      <w:r>
        <w:rPr>
          <w:sz w:val="23"/>
          <w:szCs w:val="23"/>
        </w:rPr>
        <w:t xml:space="preserve"> X.4.3.3</w:t>
      </w:r>
      <w:r w:rsidRPr="00E94F9C">
        <w:rPr>
          <w:sz w:val="23"/>
          <w:szCs w:val="23"/>
        </w:rPr>
        <w:t>) form a longitudinal record for the patients that received care among those providers within the community. Longitudinal records therefore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77777777"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 like EHRs themselves, be local to the patient’s care facility.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162" w:name="_Toc314042046"/>
      <w:bookmarkStart w:id="163" w:name="_Toc314820373"/>
      <w:bookmarkEnd w:id="162"/>
      <w:r>
        <w:lastRenderedPageBreak/>
        <w:t xml:space="preserve">X.4.2.5 </w:t>
      </w:r>
      <w:r w:rsidRPr="00E94F9C">
        <w:t>Use of Documents</w:t>
      </w:r>
      <w:bookmarkEnd w:id="163"/>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583DB2EF" w:rsidR="00C625FC" w:rsidRPr="00E94F9C" w:rsidRDefault="00C625FC" w:rsidP="00C625FC">
      <w:pPr>
        <w:pStyle w:val="BodyText"/>
      </w:pPr>
      <w:r w:rsidRPr="00E94F9C">
        <w:t>IHE Document Sharing profiles assume that a patient identity is associated with every document shared (See section</w:t>
      </w:r>
      <w:r>
        <w:t xml:space="preserve"> X.4.2.4</w:t>
      </w:r>
      <w:r w:rsidRPr="00E94F9C">
        <w:t xml:space="preserve">). </w:t>
      </w:r>
    </w:p>
    <w:p w14:paraId="3C2ADC1F" w14:textId="691DF64B" w:rsidR="00C625FC" w:rsidRPr="00E94F9C" w:rsidRDefault="00C625FC" w:rsidP="00C625FC">
      <w:pPr>
        <w:pStyle w:val="BodyText"/>
      </w:pPr>
      <w:r w:rsidRPr="00E94F9C">
        <w:t>The most common document content standard that is profiled by IHE is HL7 Clinical Document Architecture (CDA)</w:t>
      </w:r>
      <w:commentRangeStart w:id="164"/>
      <w:r>
        <w:t>, and an emerging HL7 FHIR Document</w:t>
      </w:r>
      <w:commentRangeEnd w:id="164"/>
      <w:r>
        <w:rPr>
          <w:rStyle w:val="CommentReference"/>
        </w:rPr>
        <w:commentReference w:id="164"/>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 xml:space="preserve">as the document content type of choice, it does not restrict the content of a document in any way. Many </w:t>
      </w:r>
      <w:r w:rsidRPr="00E94F9C">
        <w:t>times,</w:t>
      </w:r>
      <w:r w:rsidRPr="00E94F9C">
        <w:t xml:space="preserve">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7036051C" w:rsidR="00C625FC" w:rsidRDefault="00C625FC" w:rsidP="00C625FC">
      <w:pPr>
        <w:pStyle w:val="BodyText"/>
      </w:pPr>
      <w:r w:rsidRPr="00E94F9C">
        <w:t xml:space="preserve">IHE and other organizations have integration profiles which define document content for specific, commonly occurring cases. For example, the IHE Laboratory domain has defined an XD-Lab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 it is useful for IHE to profile (define) both the transport and the content of the documents so that true interoperability can more easily be achieved throughout the healthcare continuum. </w:t>
      </w:r>
    </w:p>
    <w:p w14:paraId="12B3E76D" w14:textId="5670AE96" w:rsidR="00C625FC" w:rsidRPr="00D26514" w:rsidRDefault="00C625FC" w:rsidP="00C625FC">
      <w:pPr>
        <w:pStyle w:val="BodyText"/>
      </w:pPr>
      <w:commentRangeStart w:id="165"/>
      <w:r>
        <w:t xml:space="preserve">The IHE Content Profiles utilize two abstract actors “Content Creator” and “Content Consumer”, utilizing an abstraction of “Share Content”; where “Share Content” can be any of the Document Sharing infrastructures including MHD-HIE,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w:lastRenderedPageBreak/>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1B5D072A"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165"/>
      <w:r>
        <w:rPr>
          <w:rStyle w:val="CommentReference"/>
        </w:rPr>
        <w:commentReference w:id="165"/>
      </w:r>
    </w:p>
    <w:p w14:paraId="0CF7318A" w14:textId="58FD616A" w:rsidR="00C625FC" w:rsidRPr="00E94F9C" w:rsidRDefault="00C625FC" w:rsidP="00C625FC">
      <w:pPr>
        <w:pStyle w:val="Heading4"/>
      </w:pPr>
      <w:bookmarkStart w:id="166" w:name="_Toc314820374"/>
      <w:r>
        <w:t xml:space="preserve">X.4.2.6 </w:t>
      </w:r>
      <w:r w:rsidRPr="00E94F9C">
        <w:t xml:space="preserve">Value of </w:t>
      </w:r>
      <w:bookmarkStart w:id="167" w:name="_Ref307473023"/>
      <w:r w:rsidRPr="00E94F9C">
        <w:t>Metadata</w:t>
      </w:r>
      <w:bookmarkEnd w:id="166"/>
      <w:bookmarkEnd w:id="167"/>
    </w:p>
    <w:p w14:paraId="02342579" w14:textId="513E2853" w:rsidR="00C625FC" w:rsidRPr="00E94F9C" w:rsidRDefault="00C625FC" w:rsidP="00C625FC">
      <w:pPr>
        <w:pStyle w:val="BodyText"/>
      </w:pPr>
      <w:r w:rsidRPr="00E94F9C">
        <w:t>Another key principle leveraged by IHE Document Sharing is the use of metadata. As defined in section</w:t>
      </w:r>
      <w:r>
        <w:t xml:space="preserve"> X.4.2.2</w:t>
      </w:r>
      <w:r w:rsidRPr="00E94F9C">
        <w:t>,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are defined to facilitate interoperability, so that receiving systems can manage, route and administer documents even if they are unable to interpret the contents of the document. The 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 xml:space="preserve">Any metadata element may support overlapping </w:t>
      </w:r>
      <w:r w:rsidRPr="00E94F9C">
        <w:t>purposes,</w:t>
      </w:r>
      <w:r w:rsidRPr="00E94F9C">
        <w:t xml:space="preserve"> but the combination of metadata elements provides a robust understanding of the document and enables automated and manual </w:t>
      </w:r>
      <w:r w:rsidRPr="00E94F9C">
        <w:lastRenderedPageBreak/>
        <w:t>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168" w:name="_Toc314820375"/>
      <w:r>
        <w:t xml:space="preserve">X.4.2.6 </w:t>
      </w:r>
      <w:r w:rsidRPr="00E94F9C">
        <w:t>Document Relationships</w:t>
      </w:r>
      <w:bookmarkEnd w:id="168"/>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169" w:name="_Toc314820376"/>
      <w:r>
        <w:t xml:space="preserve">X.4.2.8 </w:t>
      </w:r>
      <w:r w:rsidRPr="00E94F9C">
        <w:t xml:space="preserve">Document Sharing </w:t>
      </w:r>
      <w:commentRangeStart w:id="170"/>
      <w:r w:rsidRPr="00E94F9C">
        <w:t>Models</w:t>
      </w:r>
      <w:bookmarkEnd w:id="169"/>
      <w:commentRangeEnd w:id="170"/>
      <w:r>
        <w:rPr>
          <w:rStyle w:val="CommentReference"/>
          <w:rFonts w:ascii="Times New Roman" w:hAnsi="Times New Roman"/>
          <w:b w:val="0"/>
          <w:noProof w:val="0"/>
          <w:kern w:val="0"/>
        </w:rPr>
        <w:commentReference w:id="170"/>
      </w:r>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E94F9C">
        <w:t>Direct Push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E94F9C">
        <w:t>Centralized Discovery and Retrieve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E94F9C">
        <w:t xml:space="preserve">Federated Discovery and Retrieve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w:t>
      </w:r>
      <w:r w:rsidRPr="00E94F9C">
        <w:lastRenderedPageBreak/>
        <w:t xml:space="preserve">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It is expected that most communities of exchange will start with one of the three forms of document exchange and, if needed, adopt the others later. The addition of a new model to an existing deployment is relatively simple because the IHE profiles are based on common principles.</w:t>
      </w:r>
    </w:p>
    <w:p w14:paraId="3B0740F9" w14:textId="15F0B6DF" w:rsidR="00C625FC" w:rsidRPr="00E94F9C" w:rsidRDefault="00C625FC" w:rsidP="00C625FC">
      <w:pPr>
        <w:pStyle w:val="Heading4"/>
      </w:pPr>
      <w:bookmarkStart w:id="171" w:name="_Toc314820377"/>
      <w:r>
        <w:t xml:space="preserve">X.4.2.9 </w:t>
      </w:r>
      <w:r w:rsidRPr="00E94F9C">
        <w:t>Patient Identity Management</w:t>
      </w:r>
      <w:bookmarkEnd w:id="171"/>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w:t>
      </w:r>
      <w:r w:rsidRPr="00E94F9C">
        <w:t>document</w:t>
      </w:r>
      <w:r w:rsidRPr="00E94F9C">
        <w:t xml:space="preserve">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172" w:name="_Toc314820378"/>
      <w:r>
        <w:t xml:space="preserve">X.4.2.10 </w:t>
      </w:r>
      <w:r w:rsidRPr="00E94F9C">
        <w:t xml:space="preserve">Locating sharing </w:t>
      </w:r>
      <w:commentRangeStart w:id="173"/>
      <w:r w:rsidRPr="00E94F9C">
        <w:t>partners</w:t>
      </w:r>
      <w:bookmarkEnd w:id="172"/>
      <w:commentRangeEnd w:id="173"/>
      <w:r>
        <w:rPr>
          <w:rStyle w:val="CommentReference"/>
          <w:rFonts w:ascii="Times New Roman" w:hAnsi="Times New Roman"/>
          <w:b w:val="0"/>
          <w:noProof w:val="0"/>
          <w:kern w:val="0"/>
        </w:rPr>
        <w:commentReference w:id="173"/>
      </w:r>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lastRenderedPageBreak/>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174"/>
      <w:r w:rsidRPr="00C625FC">
        <w:t xml:space="preserve">For locating source of information about a </w:t>
      </w:r>
      <w:proofErr w:type="gramStart"/>
      <w:r w:rsidRPr="00C625FC">
        <w:t>particular patient</w:t>
      </w:r>
      <w:proofErr w:type="gramEnd"/>
      <w:r w:rsidRPr="00C625FC">
        <w: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w:instrText>
      </w:r>
      <w:r w:rsidRPr="00C625FC">
        <w:instrText xml:space="preserve">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w:instrText>
      </w:r>
      <w:r w:rsidRPr="00C625FC">
        <w:instrText xml:space="preserve"> \* MERGEFORMAT </w:instrText>
      </w:r>
      <w:r w:rsidRPr="00C625FC">
        <w:fldChar w:fldCharType="separate"/>
      </w:r>
      <w:r w:rsidRPr="00C625FC">
        <w:t>3.</w:t>
      </w:r>
      <w:r w:rsidRPr="00C625FC">
        <w:t>2</w:t>
      </w:r>
      <w:r w:rsidRPr="00C625FC">
        <w:fldChar w:fldCharType="end"/>
      </w:r>
      <w:r w:rsidRPr="00C625FC">
        <w:t>.</w:t>
      </w:r>
      <w:commentRangeEnd w:id="174"/>
      <w:r>
        <w:rPr>
          <w:rStyle w:val="CommentReference"/>
        </w:rPr>
        <w:commentReference w:id="174"/>
      </w:r>
    </w:p>
    <w:p w14:paraId="3962E24E" w14:textId="0302FE37" w:rsidR="00C625FC" w:rsidRPr="00E94F9C" w:rsidRDefault="00C625FC" w:rsidP="00C625FC">
      <w:pPr>
        <w:pStyle w:val="Heading4"/>
      </w:pPr>
      <w:bookmarkStart w:id="175" w:name="_Toc314820379"/>
      <w:r>
        <w:t xml:space="preserve">X.4.2.11 </w:t>
      </w:r>
      <w:r w:rsidRPr="00E94F9C">
        <w:t>Security/Privacy</w:t>
      </w:r>
      <w:bookmarkEnd w:id="175"/>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C521034" w:rsidR="00C625FC" w:rsidRPr="00E94F9C" w:rsidRDefault="00C625FC" w:rsidP="00C625FC">
      <w:pPr>
        <w:pStyle w:val="Heading3"/>
        <w:numPr>
          <w:ilvl w:val="0"/>
          <w:numId w:val="0"/>
        </w:numPr>
      </w:pPr>
      <w:bookmarkStart w:id="176" w:name="_Toc314820380"/>
      <w:r>
        <w:t xml:space="preserve">X.4.3 MHD-HIE </w:t>
      </w:r>
      <w:r w:rsidRPr="00E94F9C">
        <w:t>Document sharing profiles</w:t>
      </w:r>
      <w:bookmarkEnd w:id="176"/>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lastRenderedPageBreak/>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77D34999" w:rsidR="00C625FC" w:rsidRPr="00E94F9C" w:rsidRDefault="00C625FC" w:rsidP="00C625FC">
      <w:pPr>
        <w:pStyle w:val="ListBullet"/>
        <w:spacing w:before="60"/>
      </w:pPr>
      <w:r w:rsidRPr="00E94F9C">
        <w:t xml:space="preserve">Centralized Discovery and Retrieve (XDS Affinity Domain) – </w:t>
      </w:r>
      <w:r>
        <w:t xml:space="preserve">MHD-HIE,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177" w:name="_Ref307473481"/>
      <w:bookmarkStart w:id="178" w:name="_Toc314820384"/>
      <w:commentRangeStart w:id="179"/>
      <w:r>
        <w:t>X.4.3.1 Direct Push</w:t>
      </w:r>
    </w:p>
    <w:p w14:paraId="37F69EF9" w14:textId="67DDDB03" w:rsidR="00C625FC" w:rsidRDefault="00C625FC" w:rsidP="00C625FC">
      <w:pPr>
        <w:pStyle w:val="BodyText"/>
      </w:pPr>
      <w:r>
        <w:t>This exchange model is not the focus of the MHD-HIE profile. This function can be achieved using MHD profile with Document Source pushing to Document Recipient.</w:t>
      </w:r>
      <w:commentRangeEnd w:id="179"/>
      <w:r>
        <w:rPr>
          <w:rStyle w:val="CommentReference"/>
        </w:rPr>
        <w:commentReference w:id="179"/>
      </w:r>
    </w:p>
    <w:p w14:paraId="3179F4D6" w14:textId="640F3F27" w:rsidR="00C625FC" w:rsidRPr="00E94F9C" w:rsidRDefault="00C625FC" w:rsidP="00C625FC">
      <w:pPr>
        <w:pStyle w:val="Heading4"/>
      </w:pPr>
      <w:r>
        <w:t xml:space="preserve">X.4.3.2 MHD-HIE based </w:t>
      </w:r>
      <w:r w:rsidRPr="00E94F9C">
        <w:t>Centralized Discovery and Retrieve</w:t>
      </w:r>
      <w:bookmarkEnd w:id="177"/>
      <w:bookmarkEnd w:id="178"/>
    </w:p>
    <w:p w14:paraId="2EB27728" w14:textId="24848284" w:rsidR="00C625FC" w:rsidRPr="00E94F9C" w:rsidRDefault="00C625FC" w:rsidP="00C625FC">
      <w:pPr>
        <w:pStyle w:val="BodyText"/>
        <w:rPr>
          <w:rFonts w:cs="Arial"/>
        </w:rPr>
      </w:pPr>
      <w:r w:rsidRPr="00E94F9C">
        <w:rPr>
          <w:rFonts w:cs="Arial"/>
        </w:rPr>
        <w:t xml:space="preserve">The </w:t>
      </w:r>
      <w:r>
        <w:t>MHD-HIE</w:t>
      </w:r>
      <w:r w:rsidRPr="00E94F9C">
        <w:t xml:space="preserve"> profile enables centralized discovery of health documents and retrieval of those documents from distributed document repositories.</w:t>
      </w:r>
    </w:p>
    <w:p w14:paraId="0F9202F7" w14:textId="361B4D43"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r>
        <w:rPr>
          <w:rFonts w:cs="Arial"/>
        </w:rPr>
        <w:t>MHD-HIE</w:t>
      </w:r>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w:t>
      </w:r>
      <w:r w:rsidRPr="00E94F9C">
        <w:rPr>
          <w:rFonts w:cs="Arial"/>
        </w:rPr>
        <w:lastRenderedPageBreak/>
        <w:t xml:space="preserve">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513008B2" w:rsidR="00C625FC" w:rsidRPr="00E94F9C" w:rsidRDefault="00C625FC" w:rsidP="00C625FC">
      <w:pPr>
        <w:pStyle w:val="BodyText"/>
        <w:rPr>
          <w:rFonts w:cs="Arial"/>
        </w:rPr>
      </w:pPr>
      <w:r w:rsidRPr="00E94F9C">
        <w:rPr>
          <w:rFonts w:cs="Arial"/>
        </w:rPr>
        <w:t xml:space="preserve">In this scenario of health information exchange, the primary 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common scenario, IHE has created the </w:t>
      </w:r>
      <w:r>
        <w:rPr>
          <w:rFonts w:cs="Arial"/>
        </w:rPr>
        <w:t>MHD-HIE</w:t>
      </w:r>
      <w:r w:rsidRPr="00E94F9C">
        <w:rPr>
          <w:rFonts w:cs="Arial"/>
        </w:rPr>
        <w:t xml:space="preserve"> profile, a method to coordinate the authorized discovery and sharing of medical documents among disparate information systems. </w:t>
      </w:r>
    </w:p>
    <w:p w14:paraId="60774F68" w14:textId="6E0CE631" w:rsidR="00C625FC" w:rsidRPr="00E94F9C" w:rsidRDefault="00C625FC" w:rsidP="00C625FC">
      <w:pPr>
        <w:pStyle w:val="BodyText"/>
        <w:rPr>
          <w:rFonts w:cs="Arial"/>
        </w:rPr>
      </w:pPr>
      <w:r>
        <w:rPr>
          <w:rFonts w:cs="Arial"/>
        </w:rPr>
        <w:t>MHD-HIE</w:t>
      </w:r>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180" w:name="_Toc314820385"/>
      <w:r>
        <w:t xml:space="preserve">X.4.3.2.1 </w:t>
      </w:r>
      <w:r w:rsidRPr="00E94F9C">
        <w:t>Document Publishing</w:t>
      </w:r>
      <w:bookmarkEnd w:id="180"/>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w:t>
      </w:r>
      <w:proofErr w:type="gramStart"/>
      <w:r w:rsidRPr="00E94F9C">
        <w:rPr>
          <w:rFonts w:cs="Arial"/>
        </w:rPr>
        <w:t>hand-in-hand</w:t>
      </w:r>
      <w:proofErr w:type="gramEnd"/>
      <w:r w:rsidRPr="00E94F9C">
        <w:rPr>
          <w:rFonts w:cs="Arial"/>
        </w:rPr>
        <w:t xml:space="preserve">, the one being useless without the other. It may be convenient to think of the document registry and document 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181"/>
      <w:r w:rsidRPr="00E94F9C">
        <w:rPr>
          <w:rFonts w:cs="Arial"/>
        </w:rPr>
        <w:t>it</w:t>
      </w:r>
      <w:commentRangeEnd w:id="181"/>
      <w:r>
        <w:rPr>
          <w:rStyle w:val="CommentReference"/>
        </w:rPr>
        <w:commentReference w:id="181"/>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includes the document in a FHIR Binary Resource within the “Provide Document Resources” [ITI-65] transaction</w:t>
      </w:r>
      <w:r w:rsidRPr="00C625FC">
        <w:rPr>
          <w:highlight w:val="yellow"/>
        </w:rPr>
        <w:t xml:space="preserve"> </w:t>
      </w:r>
    </w:p>
    <w:p w14:paraId="3DBAE4FE" w14:textId="09DF2C07" w:rsidR="00C625FC" w:rsidRDefault="00C625FC" w:rsidP="00C625FC">
      <w:pPr>
        <w:pStyle w:val="ListBullet"/>
        <w:spacing w:before="60"/>
      </w:pPr>
      <w:r w:rsidRPr="00E94F9C">
        <w:lastRenderedPageBreak/>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proofErr w:type="gramStart"/>
      <w:r w:rsidRPr="00C625FC">
        <w:rPr>
          <w:highlight w:val="yellow"/>
        </w:rPr>
        <w:t>However</w:t>
      </w:r>
      <w:proofErr w:type="gramEnd"/>
      <w:r w:rsidRPr="00C625FC">
        <w:rPr>
          <w:highlight w:val="yellow"/>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182" w:name="_Toc314042060"/>
      <w:bookmarkStart w:id="183" w:name="_Toc314820386"/>
      <w:bookmarkEnd w:id="182"/>
      <w:r>
        <w:t xml:space="preserve">X.4.3.2.2 </w:t>
      </w:r>
      <w:r w:rsidRPr="00E94F9C">
        <w:t>Document Discovery</w:t>
      </w:r>
      <w:bookmarkEnd w:id="183"/>
    </w:p>
    <w:p w14:paraId="773368BE" w14:textId="0A0455EC"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r>
        <w:t>MHD-HIE</w:t>
      </w:r>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 xml:space="preserve">transaction. </w:t>
      </w:r>
      <w:r w:rsidRPr="00E94F9C">
        <w:t>Of course,</w:t>
      </w:r>
      <w:r w:rsidRPr="00E94F9C">
        <w:t xml:space="preserve"> with the structured and coded metadata, this step of discovery can be highly automated.</w:t>
      </w:r>
    </w:p>
    <w:p w14:paraId="0A464BCB" w14:textId="5FBBB1E4" w:rsidR="00C625FC" w:rsidRPr="00E94F9C" w:rsidRDefault="00C625FC" w:rsidP="00C625FC">
      <w:pPr>
        <w:pStyle w:val="Heading5"/>
      </w:pPr>
      <w:bookmarkStart w:id="184" w:name="_Toc314820387"/>
      <w:r>
        <w:t xml:space="preserve">X.4.3.2.3 </w:t>
      </w:r>
      <w:r w:rsidRPr="00E94F9C">
        <w:t>Governance</w:t>
      </w:r>
      <w:bookmarkEnd w:id="184"/>
    </w:p>
    <w:p w14:paraId="45D66D82" w14:textId="5C4E7BAE"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w:instrText>
      </w:r>
      <w:r w:rsidRPr="00E94F9C">
        <w:rPr>
          <w:i/>
        </w:rPr>
      </w:r>
      <w:r w:rsidRPr="00E94F9C">
        <w:rPr>
          <w:i/>
        </w:rPr>
        <w:instrText xml:space="preserve"> \* MERGEFORMAT </w:instrText>
      </w:r>
      <w:r w:rsidRPr="00E94F9C">
        <w:rPr>
          <w:i/>
        </w:rPr>
        <w:fldChar w:fldCharType="separate"/>
      </w:r>
      <w:r w:rsidRPr="00E94F9C">
        <w:rPr>
          <w:i/>
        </w:rPr>
        <w:t>Principles of IHE for Health Document Sharing</w:t>
      </w:r>
      <w:r w:rsidRPr="00E94F9C">
        <w:rPr>
          <w:i/>
        </w:rPr>
        <w:fldChar w:fldCharType="end"/>
      </w:r>
      <w:r w:rsidRPr="00E94F9C">
        <w:t xml:space="preserve"> section, the </w:t>
      </w:r>
      <w:r>
        <w:t>MHD-HIE</w:t>
      </w:r>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756E5063" w:rsidR="00C625FC" w:rsidRPr="00E94F9C" w:rsidRDefault="00C625FC" w:rsidP="00C625FC">
      <w:pPr>
        <w:pStyle w:val="BodyText"/>
      </w:pPr>
      <w:r>
        <w:t>MHD-HIE</w:t>
      </w:r>
      <w:r w:rsidRPr="00E94F9C">
        <w:t xml:space="preserve"> requires a governance structure as described in Section</w:t>
      </w:r>
      <w:r>
        <w:t xml:space="preserve"> X.4.2.2</w:t>
      </w:r>
      <w:r w:rsidRPr="00E94F9C">
        <w:t xml:space="preserve"> and defines the </w:t>
      </w:r>
      <w:r>
        <w:t>MHD-HIE</w:t>
      </w:r>
      <w:r w:rsidRPr="00E94F9C">
        <w:t xml:space="preserve"> </w:t>
      </w:r>
      <w:r>
        <w:t>Community</w:t>
      </w:r>
      <w:r w:rsidRPr="00E94F9C">
        <w:t xml:space="preserve"> as the agent for that governance. An </w:t>
      </w:r>
      <w:r>
        <w:t xml:space="preserve">MHD-HIE Community </w:t>
      </w:r>
      <w:r w:rsidRPr="00E94F9C">
        <w:t xml:space="preserve">is a group of healthcare enterprises that have agreed to work together using a common set of policies and </w:t>
      </w:r>
      <w:r>
        <w:t xml:space="preserve">MHD-HIE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lastRenderedPageBreak/>
        <w:t>Insurance provider supported communities</w:t>
      </w:r>
    </w:p>
    <w:p w14:paraId="49974B65" w14:textId="41786CD3" w:rsidR="00C625FC" w:rsidRPr="00E94F9C" w:rsidRDefault="00C625FC" w:rsidP="00C625FC">
      <w:pPr>
        <w:pStyle w:val="BodyText"/>
      </w:pPr>
      <w:r w:rsidRPr="00E94F9C">
        <w:t xml:space="preserve">The </w:t>
      </w:r>
      <w:r>
        <w:t>MHD-HIE</w:t>
      </w:r>
      <w:r w:rsidRPr="00E94F9C">
        <w:t xml:space="preserve"> profile is patient centric thus requires that a </w:t>
      </w:r>
      <w:r>
        <w:t>PRIM</w:t>
      </w:r>
      <w:r w:rsidRPr="00E94F9C">
        <w:t xml:space="preserve"> </w:t>
      </w:r>
      <w:r>
        <w:t>Patient Management</w:t>
      </w:r>
      <w:r w:rsidRPr="00E94F9C">
        <w:t xml:space="preserve"> Domain </w:t>
      </w:r>
      <w:r>
        <w:t xml:space="preserve">to </w:t>
      </w:r>
      <w:r w:rsidRPr="00E94F9C">
        <w:t xml:space="preserve">use a single Patient Identification Domain called a </w:t>
      </w:r>
      <w:r>
        <w:t xml:space="preserve">PRIM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MHD-HIE</w:t>
      </w:r>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11A83126" w:rsidR="00C625FC" w:rsidRPr="00E94F9C" w:rsidRDefault="00C625FC" w:rsidP="00C625FC">
      <w:pPr>
        <w:pStyle w:val="BodyText"/>
      </w:pPr>
      <w:r w:rsidRPr="00E94F9C">
        <w:t xml:space="preserve">Further detail regarding deployment of an </w:t>
      </w:r>
      <w:r>
        <w:t>MHD-HIE</w:t>
      </w:r>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185" w:name="_Toc312076562"/>
      <w:bookmarkStart w:id="186" w:name="_Toc312076623"/>
      <w:bookmarkStart w:id="187" w:name="_Toc312076684"/>
      <w:bookmarkStart w:id="188" w:name="_Toc312076745"/>
      <w:bookmarkStart w:id="189" w:name="_Toc312076806"/>
      <w:bookmarkStart w:id="190" w:name="_Toc312076563"/>
      <w:bookmarkStart w:id="191" w:name="_Toc312076624"/>
      <w:bookmarkStart w:id="192" w:name="_Toc312076685"/>
      <w:bookmarkStart w:id="193" w:name="_Toc312076746"/>
      <w:bookmarkStart w:id="194" w:name="_Toc312076807"/>
      <w:bookmarkStart w:id="195" w:name="_Ref309318865"/>
      <w:bookmarkStart w:id="196" w:name="_Toc314820388"/>
      <w:bookmarkEnd w:id="185"/>
      <w:bookmarkEnd w:id="186"/>
      <w:bookmarkEnd w:id="187"/>
      <w:bookmarkEnd w:id="188"/>
      <w:bookmarkEnd w:id="189"/>
      <w:bookmarkEnd w:id="190"/>
      <w:bookmarkEnd w:id="191"/>
      <w:bookmarkEnd w:id="192"/>
      <w:bookmarkEnd w:id="193"/>
      <w:bookmarkEnd w:id="194"/>
      <w:r>
        <w:t xml:space="preserve">X.4.3.2.4   </w:t>
      </w:r>
      <w:r w:rsidRPr="00E94F9C">
        <w:t>Notifications</w:t>
      </w:r>
      <w:bookmarkEnd w:id="195"/>
      <w:bookmarkEnd w:id="196"/>
    </w:p>
    <w:p w14:paraId="1F45695B" w14:textId="6DB0C332" w:rsidR="00C625FC" w:rsidRPr="00E94F9C" w:rsidRDefault="00C625FC" w:rsidP="00C625FC">
      <w:pPr>
        <w:pStyle w:val="BodyText"/>
      </w:pPr>
      <w:r w:rsidRPr="00E94F9C">
        <w:t xml:space="preserve">The </w:t>
      </w:r>
      <w:r>
        <w:t>MHD-HIE environment does not yet have a Notification mechanism like found in XDS in the DSUB profile.</w:t>
      </w:r>
    </w:p>
    <w:p w14:paraId="44E77BD6" w14:textId="00E20BFD" w:rsidR="00C625FC" w:rsidRPr="00E94F9C" w:rsidRDefault="00C625FC" w:rsidP="00C625FC">
      <w:pPr>
        <w:pStyle w:val="Heading4"/>
      </w:pPr>
      <w:bookmarkStart w:id="197" w:name="_Ref313877904"/>
      <w:bookmarkStart w:id="198" w:name="_Toc314820389"/>
      <w:r>
        <w:t xml:space="preserve">X.4.3.3 </w:t>
      </w:r>
      <w:r w:rsidRPr="00E94F9C">
        <w:t>Federated Discovery and Retrieve</w:t>
      </w:r>
      <w:bookmarkEnd w:id="197"/>
      <w:bookmarkEnd w:id="198"/>
    </w:p>
    <w:p w14:paraId="586C21DB" w14:textId="5E0A2AC6" w:rsidR="00C625FC" w:rsidRPr="00E94F9C" w:rsidRDefault="00C625FC" w:rsidP="00C625FC">
      <w:pPr>
        <w:pStyle w:val="BodyText"/>
      </w:pPr>
      <w:r>
        <w:t>MHD-HIE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199" w:name="_Ref307918280"/>
      <w:bookmarkStart w:id="200" w:name="_Ref307921240"/>
      <w:bookmarkStart w:id="201" w:name="_Toc314820390"/>
      <w:r>
        <w:t xml:space="preserve">X.4.4 </w:t>
      </w:r>
      <w:r w:rsidR="00C625FC" w:rsidRPr="00E94F9C">
        <w:t>Patient identity management</w:t>
      </w:r>
      <w:bookmarkEnd w:id="199"/>
      <w:bookmarkEnd w:id="200"/>
      <w:bookmarkEnd w:id="201"/>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lastRenderedPageBreak/>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9FA70BA" w:rsidR="00C625FC" w:rsidRPr="00E94F9C" w:rsidRDefault="00C625FC" w:rsidP="00C625FC">
      <w:pPr>
        <w:pStyle w:val="BodyText"/>
      </w:pPr>
      <w:r w:rsidRPr="00E94F9C">
        <w:t xml:space="preserve">The Patient </w:t>
      </w:r>
      <w:r w:rsidR="00D6438D">
        <w:t>Resource Identity Management (PRIM</w:t>
      </w:r>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374B8AF" w:rsidR="00C625FC" w:rsidRPr="00E94F9C" w:rsidRDefault="00D6438D" w:rsidP="00D6438D">
      <w:pPr>
        <w:pStyle w:val="Heading4"/>
      </w:pPr>
      <w:bookmarkStart w:id="202" w:name="_Toc312076567"/>
      <w:bookmarkStart w:id="203" w:name="_Toc312076628"/>
      <w:bookmarkStart w:id="204" w:name="_Toc312076689"/>
      <w:bookmarkStart w:id="205" w:name="_Toc312076750"/>
      <w:bookmarkStart w:id="206" w:name="_Toc312076811"/>
      <w:bookmarkStart w:id="207" w:name="_Ref308162835"/>
      <w:bookmarkStart w:id="208" w:name="_Toc314820391"/>
      <w:bookmarkEnd w:id="202"/>
      <w:bookmarkEnd w:id="203"/>
      <w:bookmarkEnd w:id="204"/>
      <w:bookmarkEnd w:id="205"/>
      <w:bookmarkEnd w:id="206"/>
      <w:r>
        <w:t xml:space="preserve">X.4.4.1 </w:t>
      </w:r>
      <w:r w:rsidR="00C625FC" w:rsidRPr="00E94F9C">
        <w:t>Patient Identity Cross-Reference (PIX</w:t>
      </w:r>
      <w:bookmarkEnd w:id="207"/>
      <w:r w:rsidR="00C625FC" w:rsidRPr="00E94F9C">
        <w:t>)</w:t>
      </w:r>
      <w:bookmarkEnd w:id="208"/>
    </w:p>
    <w:p w14:paraId="4D841133" w14:textId="77777777"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Primary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lastRenderedPageBreak/>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34A9EEDA" w:rsidR="00C625FC" w:rsidRPr="00E94F9C" w:rsidRDefault="00C625FC" w:rsidP="00C625FC">
      <w:pPr>
        <w:pStyle w:val="BodyText"/>
      </w:pPr>
      <w:r w:rsidRPr="00E94F9C">
        <w:t xml:space="preserve">The </w:t>
      </w:r>
      <w:r w:rsidR="00D6438D">
        <w:t>PRIM</w:t>
      </w:r>
      <w:r w:rsidRPr="00E94F9C">
        <w:t xml:space="preserve"> profile is IHE's answer to the difficulty of managing an individual patient's multiple Identifiers. A </w:t>
      </w:r>
      <w:r w:rsidR="00D6438D">
        <w:t>PRIM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r w:rsidR="00D6438D">
        <w:t>PRIM</w:t>
      </w:r>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r w:rsidR="00D6438D">
        <w:t>PRIM Patient Identity</w:t>
      </w:r>
      <w:r w:rsidRPr="00E94F9C">
        <w:t xml:space="preserve"> Manager matches the identifiers. </w:t>
      </w:r>
    </w:p>
    <w:p w14:paraId="6D6529D5" w14:textId="7848C695" w:rsidR="00C625FC" w:rsidRPr="00E94F9C" w:rsidRDefault="00C625FC" w:rsidP="00C625FC">
      <w:pPr>
        <w:pStyle w:val="BodyText"/>
      </w:pPr>
      <w:r w:rsidRPr="00E94F9C">
        <w:t xml:space="preserve">A consumer system may query the </w:t>
      </w:r>
      <w:r w:rsidR="00D6438D">
        <w:t>PRIM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BE403E1" w:rsidR="00C625FC" w:rsidRPr="00E94F9C" w:rsidRDefault="00C625FC" w:rsidP="00C625FC">
      <w:pPr>
        <w:pStyle w:val="BodyText"/>
      </w:pPr>
      <w:r w:rsidRPr="00E94F9C">
        <w:t>A primary use of the PIX</w:t>
      </w:r>
      <w:r w:rsidR="00D6438D">
        <w:t>m</w:t>
      </w:r>
      <w:r w:rsidRPr="00E94F9C">
        <w:t xml:space="preserve"> profile is to enable document consumers and document sources using the </w:t>
      </w:r>
      <w:r w:rsidR="00D6438D">
        <w:t>MHD-HIE</w:t>
      </w:r>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209" w:name="_Toc312076570"/>
      <w:bookmarkStart w:id="210" w:name="_Toc312076631"/>
      <w:bookmarkStart w:id="211" w:name="_Toc312076692"/>
      <w:bookmarkStart w:id="212" w:name="_Toc312076753"/>
      <w:bookmarkStart w:id="213" w:name="_Toc312076814"/>
      <w:bookmarkStart w:id="214" w:name="_Toc312076571"/>
      <w:bookmarkStart w:id="215" w:name="_Toc312076632"/>
      <w:bookmarkStart w:id="216" w:name="_Toc312076693"/>
      <w:bookmarkStart w:id="217" w:name="_Toc312076754"/>
      <w:bookmarkStart w:id="218" w:name="_Toc312076815"/>
      <w:bookmarkStart w:id="219" w:name="_Toc312076573"/>
      <w:bookmarkStart w:id="220" w:name="_Toc312076634"/>
      <w:bookmarkStart w:id="221" w:name="_Toc312076695"/>
      <w:bookmarkStart w:id="222" w:name="_Toc312076756"/>
      <w:bookmarkStart w:id="223" w:name="_Toc312076817"/>
      <w:bookmarkStart w:id="224" w:name="_Toc314820392"/>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t xml:space="preserve">X.4.4.2 </w:t>
      </w:r>
      <w:r w:rsidR="00C625FC" w:rsidRPr="00E94F9C">
        <w:t>Patient Demographics Query</w:t>
      </w:r>
      <w:r>
        <w:t xml:space="preserve"> for Mobile</w:t>
      </w:r>
      <w:r w:rsidR="00C625FC" w:rsidRPr="00E94F9C">
        <w:t xml:space="preserve"> (PDQ</w:t>
      </w:r>
      <w:r>
        <w:t>m</w:t>
      </w:r>
      <w:r w:rsidR="00C625FC" w:rsidRPr="00E94F9C">
        <w:t>)</w:t>
      </w:r>
      <w:bookmarkEnd w:id="224"/>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xml:space="preserve">, a female born on July-23-1987. To help information systems improve their management of patient demographic information, </w:t>
      </w:r>
      <w:r w:rsidRPr="00E94F9C">
        <w:lastRenderedPageBreak/>
        <w:t>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32EDFA9"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r w:rsidR="00D6438D">
        <w:t xml:space="preserve">MHD-HIE </w:t>
      </w:r>
      <w:r w:rsidRPr="00E94F9C">
        <w:t>profile.</w:t>
      </w:r>
    </w:p>
    <w:p w14:paraId="7A12BDFE" w14:textId="647F607D" w:rsidR="00C625FC" w:rsidRPr="00E94F9C" w:rsidRDefault="00D6438D" w:rsidP="00D6438D">
      <w:pPr>
        <w:pStyle w:val="Heading3"/>
        <w:numPr>
          <w:ilvl w:val="0"/>
          <w:numId w:val="0"/>
        </w:numPr>
      </w:pPr>
      <w:bookmarkStart w:id="225" w:name="_Toc312076576"/>
      <w:bookmarkStart w:id="226" w:name="_Toc312076637"/>
      <w:bookmarkStart w:id="227" w:name="_Toc312076698"/>
      <w:bookmarkStart w:id="228" w:name="_Toc312076759"/>
      <w:bookmarkStart w:id="229" w:name="_Toc312076820"/>
      <w:bookmarkStart w:id="230" w:name="_Ref307921221"/>
      <w:bookmarkStart w:id="231" w:name="_Toc314820394"/>
      <w:bookmarkEnd w:id="225"/>
      <w:bookmarkEnd w:id="226"/>
      <w:bookmarkEnd w:id="227"/>
      <w:bookmarkEnd w:id="228"/>
      <w:bookmarkEnd w:id="229"/>
      <w:r>
        <w:t xml:space="preserve">X.4.5 </w:t>
      </w:r>
      <w:r w:rsidR="00C625FC" w:rsidRPr="00E94F9C">
        <w:t>Common Provider Directory</w:t>
      </w:r>
      <w:bookmarkEnd w:id="230"/>
      <w:bookmarkEnd w:id="231"/>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w:t>
      </w:r>
      <w:proofErr w:type="gramStart"/>
      <w:r w:rsidRPr="00E94F9C">
        <w:t>an</w:t>
      </w:r>
      <w:proofErr w:type="gramEnd"/>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 xml:space="preserve">TODO: Do we enable use of the mCSD managed identities </w:t>
      </w:r>
      <w:proofErr w:type="gramStart"/>
      <w:r w:rsidRPr="00D6438D">
        <w:rPr>
          <w:highlight w:val="yellow"/>
        </w:rPr>
        <w:t>in .author</w:t>
      </w:r>
      <w:proofErr w:type="gramEnd"/>
      <w:r w:rsidRPr="00D6438D">
        <w:rPr>
          <w:highlight w:val="yellow"/>
        </w:rPr>
        <w:t xml:space="preserve">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37D9461F" w:rsidR="00303E20" w:rsidRPr="00D26514" w:rsidRDefault="00303E20" w:rsidP="00303E20">
      <w:pPr>
        <w:pStyle w:val="Heading2"/>
        <w:numPr>
          <w:ilvl w:val="0"/>
          <w:numId w:val="0"/>
        </w:numPr>
        <w:rPr>
          <w:noProof w:val="0"/>
        </w:rPr>
      </w:pPr>
      <w:bookmarkStart w:id="232" w:name="_Toc345074664"/>
      <w:bookmarkStart w:id="233" w:name="_Toc500238764"/>
      <w:bookmarkEnd w:id="103"/>
      <w:bookmarkEnd w:id="104"/>
      <w:r w:rsidRPr="00D26514">
        <w:rPr>
          <w:noProof w:val="0"/>
        </w:rPr>
        <w:t>X.</w:t>
      </w:r>
      <w:r w:rsidR="00AF472E" w:rsidRPr="00D26514">
        <w:rPr>
          <w:noProof w:val="0"/>
        </w:rPr>
        <w:t>5</w:t>
      </w:r>
      <w:r w:rsidR="005F21E7" w:rsidRPr="00D26514">
        <w:rPr>
          <w:noProof w:val="0"/>
        </w:rPr>
        <w:t xml:space="preserve"> </w:t>
      </w:r>
      <w:r w:rsidR="00C625FC">
        <w:rPr>
          <w:noProof w:val="0"/>
        </w:rPr>
        <w:t>MHD-HIE</w:t>
      </w:r>
      <w:r w:rsidRPr="00D26514">
        <w:rPr>
          <w:noProof w:val="0"/>
        </w:rPr>
        <w:t xml:space="preserve"> Security Considerations</w:t>
      </w:r>
      <w:bookmarkEnd w:id="232"/>
      <w:bookmarkEnd w:id="233"/>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70317CCC" w:rsidR="00D6438D" w:rsidRPr="00D6438D" w:rsidRDefault="00D6438D" w:rsidP="00D6438D">
      <w:pPr>
        <w:pStyle w:val="BodyText"/>
        <w:rPr>
          <w:strike/>
        </w:rPr>
      </w:pPr>
      <w:r w:rsidRPr="00E94F9C">
        <w:t xml:space="preserve">This section will discuss how a community that leverages </w:t>
      </w:r>
      <w:r>
        <w:t>the MHD-HIE</w:t>
      </w:r>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sidRPr="00D6438D">
        <w:rPr>
          <w:rStyle w:val="EndnoteReference"/>
          <w:strike/>
        </w:rPr>
      </w:r>
      <w:r>
        <w:rPr>
          <w:rStyle w:val="EndnoteReference"/>
          <w:strike/>
        </w:rPr>
        <w:instrText xml:space="preserve"> \* MERGEFORMAT </w:instrText>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234" w:name="_Toc312786272"/>
      <w:bookmarkStart w:id="235" w:name="_Toc313450990"/>
      <w:bookmarkStart w:id="236" w:name="_Toc314042074"/>
      <w:bookmarkStart w:id="237" w:name="_Toc204505713"/>
      <w:bookmarkStart w:id="238" w:name="_Ref308178186"/>
      <w:bookmarkStart w:id="239" w:name="_Toc314820396"/>
      <w:bookmarkEnd w:id="234"/>
      <w:bookmarkEnd w:id="235"/>
      <w:bookmarkEnd w:id="236"/>
      <w:r>
        <w:t xml:space="preserve">X.5.1 </w:t>
      </w:r>
      <w:r w:rsidRPr="00E94F9C">
        <w:t>Policies and Risk Management</w:t>
      </w:r>
      <w:bookmarkEnd w:id="237"/>
      <w:bookmarkEnd w:id="238"/>
      <w:bookmarkEnd w:id="239"/>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 xml:space="preserve">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w:t>
      </w:r>
      <w:r w:rsidRPr="00E94F9C">
        <w:lastRenderedPageBreak/>
        <w:t>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lastRenderedPageBreak/>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240"/>
      <w:r w:rsidRPr="00FD3FBD">
        <w:rPr>
          <w:highlight w:val="yellow"/>
        </w:rPr>
        <w:t>attribute</w:t>
      </w:r>
      <w:commentRangeEnd w:id="240"/>
      <w:r w:rsidR="00FD3FBD">
        <w:rPr>
          <w:rStyle w:val="CommentReference"/>
        </w:rPr>
        <w:commentReference w:id="240"/>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241" w:name="_Toc204505714"/>
      <w:bookmarkStart w:id="242" w:name="_Ref308697152"/>
      <w:bookmarkStart w:id="243" w:name="_Toc314820397"/>
      <w:r>
        <w:t xml:space="preserve">X.5.2 </w:t>
      </w:r>
      <w:r w:rsidRPr="00E94F9C">
        <w:t>Technical Security and Privacy controls</w:t>
      </w:r>
      <w:bookmarkEnd w:id="241"/>
      <w:bookmarkEnd w:id="242"/>
      <w:bookmarkEnd w:id="243"/>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informed by a combination of the OECD data protection principles, experience with explicit policies at community implementations, and Security Risk </w:t>
      </w:r>
      <w:commentRangeStart w:id="244"/>
      <w:r w:rsidRPr="00E94F9C">
        <w:t>Management</w:t>
      </w:r>
      <w:commentRangeEnd w:id="244"/>
      <w:r w:rsidR="00FD3FBD">
        <w:rPr>
          <w:rStyle w:val="CommentReference"/>
        </w:rPr>
        <w:commentReference w:id="244"/>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lastRenderedPageBreak/>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245" w:name="_Toc204505715"/>
      <w:bookmarkStart w:id="246" w:name="_Toc314820398"/>
      <w:r>
        <w:t xml:space="preserve">X.5.3 </w:t>
      </w:r>
      <w:r w:rsidRPr="00E94F9C">
        <w:t xml:space="preserve">Applying Security and Privacy to </w:t>
      </w:r>
      <w:bookmarkEnd w:id="245"/>
      <w:r w:rsidRPr="00E94F9C">
        <w:t>Document Sharing</w:t>
      </w:r>
      <w:bookmarkEnd w:id="246"/>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247" w:name="_Toc204505716"/>
      <w:bookmarkStart w:id="248" w:name="_Toc314820399"/>
      <w:r>
        <w:t xml:space="preserve">X.5.3.1 </w:t>
      </w:r>
      <w:r w:rsidRPr="00E94F9C">
        <w:t>Basic Security</w:t>
      </w:r>
      <w:bookmarkEnd w:id="248"/>
    </w:p>
    <w:p w14:paraId="26CDC3D4" w14:textId="77777777" w:rsidR="00D6438D" w:rsidRPr="00E94F9C" w:rsidRDefault="00D6438D" w:rsidP="00D6438D">
      <w:pPr>
        <w:pStyle w:val="BodyText"/>
      </w:pPr>
      <w:r w:rsidRPr="00E94F9C">
        <w:t xml:space="preserve">IHE recognizes that in healthcare, with patient lives at stake, audit control is the primary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w:t>
      </w:r>
      <w:r w:rsidRPr="00E94F9C">
        <w:lastRenderedPageBreak/>
        <w:t xml:space="preserve">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249" w:name="_Ref314296423"/>
      <w:bookmarkStart w:id="250" w:name="_Toc314820400"/>
      <w:r>
        <w:t xml:space="preserve">X.5.3.2 </w:t>
      </w:r>
      <w:r w:rsidRPr="00E94F9C">
        <w:t>Protecting different types of documents</w:t>
      </w:r>
      <w:bookmarkEnd w:id="249"/>
      <w:bookmarkEnd w:id="250"/>
    </w:p>
    <w:p w14:paraId="4DE5ABFC" w14:textId="7596DF0E" w:rsidR="00D6438D" w:rsidRPr="00E94F9C" w:rsidRDefault="00D6438D" w:rsidP="00D6438D">
      <w:pPr>
        <w:pStyle w:val="BodyText"/>
      </w:pPr>
      <w:r w:rsidRPr="00E94F9C">
        <w:t xml:space="preserve">The IHE Document Sharing profiles, like </w:t>
      </w:r>
      <w:r w:rsidR="00FD3FBD">
        <w:t>MHD-HIE</w:t>
      </w:r>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720EAE">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720EAE">
            <w:pPr>
              <w:pStyle w:val="TableEntryHeader"/>
            </w:pPr>
            <w:r w:rsidRPr="00E94F9C">
              <w:t>Sensitivity</w:t>
            </w:r>
          </w:p>
          <w:p w14:paraId="251140C5" w14:textId="77777777" w:rsidR="00D6438D" w:rsidRPr="00E94F9C" w:rsidRDefault="00D6438D" w:rsidP="00720EAE">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720EAE">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720EAE">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720EAE">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720EAE">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720EAE">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720EAE">
            <w:pPr>
              <w:pStyle w:val="TableEntryHeader"/>
            </w:pPr>
            <w:r w:rsidRPr="00E94F9C">
              <w:t>Mediated by</w:t>
            </w:r>
            <w:r w:rsidRPr="00E94F9C">
              <w:br/>
              <w:t xml:space="preserve">Direct Care Provider </w:t>
            </w:r>
          </w:p>
        </w:tc>
      </w:tr>
      <w:tr w:rsidR="00D6438D" w:rsidRPr="00E94F9C" w14:paraId="4D3721A9" w14:textId="77777777" w:rsidTr="00720EAE">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720EAE">
            <w:pPr>
              <w:pStyle w:val="TableEntryHeader"/>
            </w:pPr>
            <w:r w:rsidRPr="00E94F9C">
              <w:t xml:space="preserve">HL7 </w:t>
            </w:r>
            <w:proofErr w:type="spellStart"/>
            <w:r w:rsidRPr="00E94F9C">
              <w:t>confidentialityCode</w:t>
            </w:r>
            <w:proofErr w:type="spellEnd"/>
            <w:r w:rsidRPr="00E94F9C">
              <w:t xml:space="preserv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720EAE">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720EAE">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720EAE">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720EAE">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720EAE">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720EAE">
            <w:pPr>
              <w:pStyle w:val="TableEntryHeader"/>
            </w:pPr>
            <w:r w:rsidRPr="00E94F9C">
              <w:t>T</w:t>
            </w:r>
          </w:p>
        </w:tc>
      </w:tr>
      <w:tr w:rsidR="00D6438D" w:rsidRPr="00E94F9C" w14:paraId="2DF47645" w14:textId="77777777" w:rsidTr="00720EAE">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720EAE">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720EAE">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720EAE">
            <w:pPr>
              <w:pStyle w:val="TableEntry"/>
            </w:pPr>
            <w:r w:rsidRPr="00E94F9C">
              <w:t xml:space="preserve">  </w:t>
            </w:r>
          </w:p>
        </w:tc>
      </w:tr>
      <w:tr w:rsidR="00D6438D" w:rsidRPr="00E94F9C" w14:paraId="5B6A6BF4" w14:textId="77777777" w:rsidTr="00720EAE">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720EAE">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720EAE">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720EAE">
            <w:pPr>
              <w:pStyle w:val="TableEntry"/>
            </w:pPr>
            <w:r w:rsidRPr="00E94F9C">
              <w:t xml:space="preserve">  </w:t>
            </w:r>
          </w:p>
        </w:tc>
      </w:tr>
      <w:tr w:rsidR="00D6438D" w:rsidRPr="00E94F9C" w14:paraId="3549279F" w14:textId="77777777" w:rsidTr="00720EAE">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720EAE">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720EAE">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720EAE">
            <w:pPr>
              <w:pStyle w:val="TableEntry"/>
            </w:pPr>
            <w:r w:rsidRPr="00E94F9C">
              <w:t xml:space="preserve">  </w:t>
            </w:r>
          </w:p>
        </w:tc>
      </w:tr>
      <w:tr w:rsidR="00D6438D" w:rsidRPr="00E94F9C" w14:paraId="5944870A" w14:textId="77777777" w:rsidTr="00720EAE">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720EAE">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720EAE">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720EAE">
            <w:pPr>
              <w:pStyle w:val="TableEntry"/>
            </w:pPr>
            <w:r w:rsidRPr="00E94F9C">
              <w:rPr>
                <w:bCs/>
              </w:rPr>
              <w:t>X</w:t>
            </w:r>
            <w:r w:rsidRPr="00E94F9C">
              <w:t xml:space="preserve"> </w:t>
            </w:r>
          </w:p>
        </w:tc>
      </w:tr>
      <w:tr w:rsidR="00D6438D" w:rsidRPr="00E94F9C" w14:paraId="02925116" w14:textId="77777777" w:rsidTr="00720EAE">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720EAE">
            <w:pPr>
              <w:pStyle w:val="TableEntry"/>
            </w:pPr>
            <w:r w:rsidRPr="00E94F9C">
              <w:t xml:space="preserve">Emergency Care </w:t>
            </w:r>
            <w:proofErr w:type="gramStart"/>
            <w:r w:rsidRPr="00E94F9C">
              <w:t>Provider  (</w:t>
            </w:r>
            <w:proofErr w:type="gramEnd"/>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720EAE">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720EAE">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720EAE">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720EAE">
            <w:pPr>
              <w:pStyle w:val="TableEntry"/>
            </w:pPr>
          </w:p>
        </w:tc>
      </w:tr>
      <w:tr w:rsidR="00D6438D" w:rsidRPr="00E94F9C" w14:paraId="53CC8D25" w14:textId="77777777" w:rsidTr="00720EAE">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720EAE">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720EAE">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720EAE">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720EAE">
            <w:pPr>
              <w:pStyle w:val="TableEntry"/>
            </w:pPr>
            <w:r w:rsidRPr="00E94F9C">
              <w:t xml:space="preserve">  </w:t>
            </w:r>
          </w:p>
        </w:tc>
      </w:tr>
      <w:tr w:rsidR="00D6438D" w:rsidRPr="00E94F9C" w14:paraId="033120B4" w14:textId="77777777" w:rsidTr="00720EAE">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720EAE">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720EAE">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720EAE">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720EAE">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214C46">
        <w:fldChar w:fldCharType="begin"/>
      </w:r>
      <w:r w:rsidRPr="004E3933">
        <w:instrText xml:space="preserve"> REF _Ref314296423 \r \h </w:instrText>
      </w:r>
      <w:r w:rsidRPr="00E94F9C">
        <w:instrText xml:space="preserve"> \* MERGEFORMAT </w:instrText>
      </w:r>
      <w:r w:rsidRPr="004E3933">
        <w:fldChar w:fldCharType="separate"/>
      </w:r>
      <w:r>
        <w:t>X.5.3.2</w:t>
      </w:r>
      <w:r w:rsidRPr="00A801E4">
        <w:fldChar w:fldCharType="end"/>
      </w:r>
      <w:r w:rsidRPr="00214C46">
        <w:noBreakHyphen/>
      </w:r>
      <w:r w:rsidRPr="00214C46">
        <w:fldChar w:fldCharType="begin"/>
      </w:r>
      <w:r w:rsidRPr="004E3933">
        <w:instrText xml:space="preserve"> SEQ Table \* ARABIC \s 2 </w:instrText>
      </w:r>
      <w:r w:rsidRPr="004E3933">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lastRenderedPageBreak/>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 xml:space="preserve">The rows are showing a set of functional roles. These roles would be conveyed from the requesting organization </w:t>
      </w:r>
      <w:proofErr w:type="gramStart"/>
      <w:r w:rsidRPr="00E94F9C">
        <w:t>through the use of</w:t>
      </w:r>
      <w:proofErr w:type="gramEnd"/>
      <w:r w:rsidRPr="00E94F9C">
        <w:t xml:space="preserve"> the Cross-Enterprise User Assertion (XUA) profile. 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251" w:name="_Toc314820401"/>
      <w:r>
        <w:t xml:space="preserve">X.5.3.3 </w:t>
      </w:r>
      <w:r w:rsidRPr="00E94F9C">
        <w:t xml:space="preserve">Patient Privacy Consent to participate in </w:t>
      </w:r>
      <w:bookmarkEnd w:id="247"/>
      <w:r w:rsidRPr="00E94F9C">
        <w:t>Document Sharing</w:t>
      </w:r>
      <w:bookmarkEnd w:id="251"/>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lastRenderedPageBreak/>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252" w:name="_Toc312786304"/>
      <w:bookmarkStart w:id="253" w:name="_Toc313451022"/>
      <w:bookmarkStart w:id="254" w:name="_Toc314042106"/>
      <w:bookmarkStart w:id="255" w:name="_Toc204505718"/>
      <w:bookmarkStart w:id="256" w:name="_Toc314820402"/>
      <w:bookmarkEnd w:id="252"/>
      <w:bookmarkEnd w:id="253"/>
      <w:bookmarkEnd w:id="254"/>
      <w:r>
        <w:t xml:space="preserve">X.5.3.4 </w:t>
      </w:r>
      <w:r w:rsidRPr="00E94F9C">
        <w:t>Security and Privacy in a Patient Safety Environment</w:t>
      </w:r>
      <w:bookmarkEnd w:id="255"/>
      <w:bookmarkEnd w:id="256"/>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77777777"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context of the current situation. It is primarily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257" w:name="_Toc312786385"/>
      <w:bookmarkStart w:id="258" w:name="_Toc313451103"/>
      <w:bookmarkStart w:id="259" w:name="_Toc314042187"/>
      <w:bookmarkStart w:id="260" w:name="_Toc312786402"/>
      <w:bookmarkStart w:id="261" w:name="_Toc313451120"/>
      <w:bookmarkStart w:id="262" w:name="_Toc314042204"/>
      <w:bookmarkStart w:id="263" w:name="_Toc204505722"/>
      <w:bookmarkStart w:id="264" w:name="_Ref307929483"/>
      <w:bookmarkStart w:id="265" w:name="_Ref308179722"/>
      <w:bookmarkStart w:id="266" w:name="_Ref308179728"/>
      <w:bookmarkStart w:id="267" w:name="_Toc314820403"/>
      <w:bookmarkEnd w:id="257"/>
      <w:bookmarkEnd w:id="258"/>
      <w:bookmarkEnd w:id="259"/>
      <w:bookmarkEnd w:id="260"/>
      <w:bookmarkEnd w:id="261"/>
      <w:bookmarkEnd w:id="262"/>
      <w:r>
        <w:t xml:space="preserve">X.5.4 </w:t>
      </w:r>
      <w:r w:rsidRPr="00E94F9C">
        <w:t>IHE Security and Privacy Controls</w:t>
      </w:r>
      <w:bookmarkEnd w:id="263"/>
      <w:bookmarkEnd w:id="264"/>
      <w:bookmarkEnd w:id="265"/>
      <w:bookmarkEnd w:id="266"/>
      <w:bookmarkEnd w:id="267"/>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lastRenderedPageBreak/>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Change w:id="268">
          <w:tblGrid>
            <w:gridCol w:w="2976"/>
            <w:gridCol w:w="539"/>
            <w:gridCol w:w="767"/>
            <w:gridCol w:w="631"/>
            <w:gridCol w:w="540"/>
            <w:gridCol w:w="540"/>
            <w:gridCol w:w="540"/>
            <w:gridCol w:w="540"/>
          </w:tblGrid>
        </w:tblGridChange>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720EAE">
            <w:pPr>
              <w:pStyle w:val="TableEntryHeader"/>
              <w:jc w:val="right"/>
            </w:pPr>
            <w:bookmarkStart w:id="269" w:name="_Toc200899001"/>
            <w:bookmarkEnd w:id="269"/>
            <w:r w:rsidRPr="00342FB9">
              <w:rPr>
                <w:bCs/>
              </w:rPr>
              <w:t xml:space="preserve">     </w:t>
            </w:r>
            <w:r w:rsidRPr="00E94F9C">
              <w:t>Security &amp; Privacy Controls</w:t>
            </w:r>
          </w:p>
          <w:p w14:paraId="151F7B71" w14:textId="77777777" w:rsidR="00FD3FBD" w:rsidRPr="00E94F9C" w:rsidRDefault="00FD3FBD" w:rsidP="00720EAE">
            <w:pPr>
              <w:pStyle w:val="TableEntryHeader"/>
            </w:pPr>
          </w:p>
          <w:p w14:paraId="73CF6C7F" w14:textId="77777777" w:rsidR="00FD3FBD" w:rsidRPr="00E94F9C" w:rsidRDefault="00FD3FBD" w:rsidP="00720EAE">
            <w:pPr>
              <w:pStyle w:val="TableEntryHeader"/>
            </w:pPr>
          </w:p>
          <w:p w14:paraId="77824B28" w14:textId="77777777" w:rsidR="00FD3FBD" w:rsidRPr="00E94F9C" w:rsidRDefault="00FD3FBD" w:rsidP="00720EAE">
            <w:pPr>
              <w:pStyle w:val="TableEntryHeader"/>
            </w:pPr>
          </w:p>
          <w:p w14:paraId="5C8A23A8" w14:textId="77777777" w:rsidR="00FD3FBD" w:rsidRPr="00E94F9C" w:rsidRDefault="00FD3FBD" w:rsidP="00720EAE">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720EAE">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720EAE">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720EAE">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720EAE">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720EAE">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720EAE">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720EAE">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720EAE">
            <w:pPr>
              <w:pStyle w:val="TableEntry"/>
            </w:pPr>
            <w:r w:rsidRPr="00E94F9C">
              <w:t>Audit Trails and Node Authentication</w:t>
            </w:r>
          </w:p>
        </w:tc>
        <w:tc>
          <w:tcPr>
            <w:tcW w:w="236" w:type="dxa"/>
            <w:shd w:val="clear" w:color="auto" w:fill="auto"/>
          </w:tcPr>
          <w:p w14:paraId="1B0E23C6" w14:textId="77777777" w:rsidR="00FD3FBD" w:rsidRPr="00E94F9C" w:rsidRDefault="00FD3FBD" w:rsidP="00720EAE">
            <w:pPr>
              <w:pStyle w:val="TableEntry"/>
            </w:pPr>
            <w:r w:rsidRPr="00E94F9C">
              <w:t>√</w:t>
            </w:r>
          </w:p>
        </w:tc>
        <w:tc>
          <w:tcPr>
            <w:tcW w:w="767" w:type="dxa"/>
            <w:shd w:val="clear" w:color="auto" w:fill="auto"/>
          </w:tcPr>
          <w:p w14:paraId="087F19EE" w14:textId="77777777" w:rsidR="00FD3FBD" w:rsidRPr="00E94F9C" w:rsidRDefault="00FD3FBD" w:rsidP="00720EAE">
            <w:pPr>
              <w:pStyle w:val="TableEntry"/>
            </w:pPr>
            <w:r w:rsidRPr="00E94F9C">
              <w:t>√</w:t>
            </w:r>
          </w:p>
        </w:tc>
        <w:tc>
          <w:tcPr>
            <w:tcW w:w="631" w:type="dxa"/>
            <w:shd w:val="clear" w:color="auto" w:fill="auto"/>
          </w:tcPr>
          <w:p w14:paraId="0F127F61" w14:textId="77777777" w:rsidR="00FD3FBD" w:rsidRPr="00E94F9C" w:rsidRDefault="00FD3FBD" w:rsidP="00720EAE">
            <w:pPr>
              <w:pStyle w:val="TableEntry"/>
            </w:pPr>
            <w:r w:rsidRPr="00E94F9C">
              <w:t>√</w:t>
            </w:r>
          </w:p>
        </w:tc>
        <w:tc>
          <w:tcPr>
            <w:tcW w:w="540" w:type="dxa"/>
            <w:shd w:val="clear" w:color="auto" w:fill="auto"/>
          </w:tcPr>
          <w:p w14:paraId="53AD5D64" w14:textId="77777777" w:rsidR="00FD3FBD" w:rsidRPr="00E94F9C" w:rsidRDefault="00FD3FBD" w:rsidP="00720EAE">
            <w:pPr>
              <w:pStyle w:val="TableEntry"/>
            </w:pPr>
            <w:r w:rsidRPr="00E94F9C">
              <w:t>√</w:t>
            </w:r>
          </w:p>
        </w:tc>
        <w:tc>
          <w:tcPr>
            <w:tcW w:w="540" w:type="dxa"/>
            <w:shd w:val="clear" w:color="auto" w:fill="auto"/>
          </w:tcPr>
          <w:p w14:paraId="3CE4A529" w14:textId="77777777" w:rsidR="00FD3FBD" w:rsidRPr="00E94F9C" w:rsidRDefault="00FD3FBD" w:rsidP="00720EAE">
            <w:pPr>
              <w:pStyle w:val="TableEntry"/>
            </w:pPr>
            <w:r w:rsidRPr="00E94F9C">
              <w:t>√</w:t>
            </w:r>
          </w:p>
        </w:tc>
        <w:tc>
          <w:tcPr>
            <w:tcW w:w="540" w:type="dxa"/>
            <w:shd w:val="clear" w:color="auto" w:fill="auto"/>
          </w:tcPr>
          <w:p w14:paraId="2AA0FBF3" w14:textId="77777777" w:rsidR="00FD3FBD" w:rsidRPr="00E94F9C" w:rsidRDefault="00FD3FBD" w:rsidP="00720EAE">
            <w:pPr>
              <w:pStyle w:val="TableEntry"/>
            </w:pPr>
            <w:r w:rsidRPr="00E94F9C">
              <w:t>√</w:t>
            </w:r>
          </w:p>
        </w:tc>
        <w:tc>
          <w:tcPr>
            <w:tcW w:w="540" w:type="dxa"/>
            <w:shd w:val="clear" w:color="auto" w:fill="auto"/>
          </w:tcPr>
          <w:p w14:paraId="7CEE5BE3" w14:textId="77777777" w:rsidR="00FD3FBD" w:rsidRPr="00E94F9C" w:rsidRDefault="00FD3FBD" w:rsidP="00720EAE">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720EAE">
            <w:pPr>
              <w:pStyle w:val="TableEntry"/>
            </w:pPr>
            <w:r w:rsidRPr="00E94F9C">
              <w:t>Consistent Time</w:t>
            </w:r>
          </w:p>
        </w:tc>
        <w:tc>
          <w:tcPr>
            <w:tcW w:w="236" w:type="dxa"/>
            <w:shd w:val="clear" w:color="auto" w:fill="auto"/>
          </w:tcPr>
          <w:p w14:paraId="4B4C8FCD" w14:textId="77777777" w:rsidR="00FD3FBD" w:rsidRPr="00E94F9C" w:rsidRDefault="00FD3FBD" w:rsidP="00720EAE">
            <w:pPr>
              <w:pStyle w:val="TableEntry"/>
            </w:pPr>
            <w:r w:rsidRPr="00E94F9C">
              <w:t>√</w:t>
            </w:r>
          </w:p>
        </w:tc>
        <w:tc>
          <w:tcPr>
            <w:tcW w:w="767" w:type="dxa"/>
            <w:shd w:val="clear" w:color="auto" w:fill="auto"/>
          </w:tcPr>
          <w:p w14:paraId="53358AC8" w14:textId="77777777" w:rsidR="00FD3FBD" w:rsidRPr="00E94F9C" w:rsidRDefault="00FD3FBD" w:rsidP="00720EAE">
            <w:pPr>
              <w:pStyle w:val="TableEntry"/>
            </w:pPr>
            <w:r w:rsidRPr="00E94F9C">
              <w:t>∙</w:t>
            </w:r>
          </w:p>
        </w:tc>
        <w:tc>
          <w:tcPr>
            <w:tcW w:w="631" w:type="dxa"/>
            <w:shd w:val="clear" w:color="auto" w:fill="auto"/>
          </w:tcPr>
          <w:p w14:paraId="4819F64B" w14:textId="77777777" w:rsidR="00FD3FBD" w:rsidRPr="00E94F9C" w:rsidRDefault="00FD3FBD" w:rsidP="00720EAE">
            <w:pPr>
              <w:pStyle w:val="TableEntry"/>
            </w:pPr>
          </w:p>
        </w:tc>
        <w:tc>
          <w:tcPr>
            <w:tcW w:w="540" w:type="dxa"/>
            <w:shd w:val="clear" w:color="auto" w:fill="auto"/>
          </w:tcPr>
          <w:p w14:paraId="270A7AB5" w14:textId="77777777" w:rsidR="00FD3FBD" w:rsidRPr="00E94F9C" w:rsidRDefault="00FD3FBD" w:rsidP="00720EAE">
            <w:pPr>
              <w:pStyle w:val="TableEntry"/>
            </w:pPr>
          </w:p>
        </w:tc>
        <w:tc>
          <w:tcPr>
            <w:tcW w:w="540" w:type="dxa"/>
            <w:shd w:val="clear" w:color="auto" w:fill="auto"/>
          </w:tcPr>
          <w:p w14:paraId="581234F7" w14:textId="77777777" w:rsidR="00FD3FBD" w:rsidRPr="00E94F9C" w:rsidRDefault="00FD3FBD" w:rsidP="00720EAE">
            <w:pPr>
              <w:pStyle w:val="TableEntry"/>
            </w:pPr>
          </w:p>
        </w:tc>
        <w:tc>
          <w:tcPr>
            <w:tcW w:w="540" w:type="dxa"/>
            <w:shd w:val="clear" w:color="auto" w:fill="auto"/>
          </w:tcPr>
          <w:p w14:paraId="4D86BEF2" w14:textId="77777777" w:rsidR="00FD3FBD" w:rsidRPr="00E94F9C" w:rsidRDefault="00FD3FBD" w:rsidP="00720EAE">
            <w:pPr>
              <w:pStyle w:val="TableEntry"/>
            </w:pPr>
            <w:r w:rsidRPr="00E94F9C">
              <w:t>√</w:t>
            </w:r>
          </w:p>
        </w:tc>
        <w:tc>
          <w:tcPr>
            <w:tcW w:w="540" w:type="dxa"/>
            <w:shd w:val="clear" w:color="auto" w:fill="auto"/>
          </w:tcPr>
          <w:p w14:paraId="4558343D" w14:textId="77777777" w:rsidR="00FD3FBD" w:rsidRPr="00E94F9C" w:rsidRDefault="00FD3FBD" w:rsidP="00720EAE">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720EAE">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720EAE">
            <w:pPr>
              <w:pStyle w:val="TableEntry"/>
            </w:pPr>
          </w:p>
        </w:tc>
        <w:tc>
          <w:tcPr>
            <w:tcW w:w="767" w:type="dxa"/>
            <w:shd w:val="clear" w:color="auto" w:fill="auto"/>
          </w:tcPr>
          <w:p w14:paraId="50464A19" w14:textId="77777777" w:rsidR="00FD3FBD" w:rsidRPr="00E94F9C" w:rsidRDefault="00FD3FBD" w:rsidP="00720EAE">
            <w:pPr>
              <w:pStyle w:val="TableEntry"/>
            </w:pPr>
            <w:r w:rsidRPr="00E94F9C">
              <w:t>√</w:t>
            </w:r>
          </w:p>
        </w:tc>
        <w:tc>
          <w:tcPr>
            <w:tcW w:w="631" w:type="dxa"/>
            <w:shd w:val="clear" w:color="auto" w:fill="auto"/>
          </w:tcPr>
          <w:p w14:paraId="33957813" w14:textId="77777777" w:rsidR="00FD3FBD" w:rsidRPr="00E94F9C" w:rsidRDefault="00FD3FBD" w:rsidP="00720EAE">
            <w:pPr>
              <w:pStyle w:val="TableEntry"/>
            </w:pPr>
            <w:r w:rsidRPr="00E94F9C">
              <w:t>∙</w:t>
            </w:r>
          </w:p>
        </w:tc>
        <w:tc>
          <w:tcPr>
            <w:tcW w:w="540" w:type="dxa"/>
            <w:shd w:val="clear" w:color="auto" w:fill="auto"/>
          </w:tcPr>
          <w:p w14:paraId="082C4653" w14:textId="77777777" w:rsidR="00FD3FBD" w:rsidRPr="00E94F9C" w:rsidRDefault="00FD3FBD" w:rsidP="00720EAE">
            <w:pPr>
              <w:pStyle w:val="TableEntry"/>
            </w:pPr>
          </w:p>
        </w:tc>
        <w:tc>
          <w:tcPr>
            <w:tcW w:w="540" w:type="dxa"/>
            <w:shd w:val="clear" w:color="auto" w:fill="auto"/>
          </w:tcPr>
          <w:p w14:paraId="25929454" w14:textId="77777777" w:rsidR="00FD3FBD" w:rsidRPr="00E94F9C" w:rsidRDefault="00FD3FBD" w:rsidP="00720EAE">
            <w:pPr>
              <w:pStyle w:val="TableEntry"/>
            </w:pPr>
          </w:p>
        </w:tc>
        <w:tc>
          <w:tcPr>
            <w:tcW w:w="540" w:type="dxa"/>
            <w:shd w:val="clear" w:color="auto" w:fill="auto"/>
          </w:tcPr>
          <w:p w14:paraId="03511A82" w14:textId="77777777" w:rsidR="00FD3FBD" w:rsidRPr="00E94F9C" w:rsidRDefault="00FD3FBD" w:rsidP="00720EAE">
            <w:pPr>
              <w:pStyle w:val="TableEntry"/>
            </w:pPr>
            <w:r w:rsidRPr="00E94F9C">
              <w:t>∙</w:t>
            </w:r>
          </w:p>
        </w:tc>
        <w:tc>
          <w:tcPr>
            <w:tcW w:w="540" w:type="dxa"/>
            <w:shd w:val="clear" w:color="auto" w:fill="auto"/>
          </w:tcPr>
          <w:p w14:paraId="5972A559" w14:textId="77777777" w:rsidR="00FD3FBD" w:rsidRPr="00E94F9C" w:rsidRDefault="00FD3FBD" w:rsidP="00720EAE">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720EAE">
            <w:pPr>
              <w:pStyle w:val="TableEntry"/>
            </w:pPr>
            <w:r w:rsidRPr="00E94F9C">
              <w:t>Cross-Enterprise User Assertion</w:t>
            </w:r>
          </w:p>
        </w:tc>
        <w:tc>
          <w:tcPr>
            <w:tcW w:w="236" w:type="dxa"/>
            <w:shd w:val="clear" w:color="auto" w:fill="auto"/>
          </w:tcPr>
          <w:p w14:paraId="6F7712F6" w14:textId="77777777" w:rsidR="00FD3FBD" w:rsidRPr="00E94F9C" w:rsidRDefault="00FD3FBD" w:rsidP="00720EAE">
            <w:pPr>
              <w:pStyle w:val="TableEntry"/>
            </w:pPr>
          </w:p>
        </w:tc>
        <w:tc>
          <w:tcPr>
            <w:tcW w:w="767" w:type="dxa"/>
            <w:shd w:val="clear" w:color="auto" w:fill="auto"/>
          </w:tcPr>
          <w:p w14:paraId="461F4E18" w14:textId="77777777" w:rsidR="00FD3FBD" w:rsidRPr="00E94F9C" w:rsidRDefault="00FD3FBD" w:rsidP="00720EAE">
            <w:pPr>
              <w:pStyle w:val="TableEntry"/>
            </w:pPr>
            <w:r w:rsidRPr="00E94F9C">
              <w:t>√</w:t>
            </w:r>
          </w:p>
        </w:tc>
        <w:tc>
          <w:tcPr>
            <w:tcW w:w="631" w:type="dxa"/>
            <w:shd w:val="clear" w:color="auto" w:fill="auto"/>
          </w:tcPr>
          <w:p w14:paraId="3A03C9C2" w14:textId="77777777" w:rsidR="00FD3FBD" w:rsidRPr="00E94F9C" w:rsidRDefault="00FD3FBD" w:rsidP="00720EAE">
            <w:pPr>
              <w:pStyle w:val="TableEntry"/>
            </w:pPr>
            <w:r w:rsidRPr="00E94F9C">
              <w:t>∙</w:t>
            </w:r>
          </w:p>
        </w:tc>
        <w:tc>
          <w:tcPr>
            <w:tcW w:w="540" w:type="dxa"/>
            <w:shd w:val="clear" w:color="auto" w:fill="auto"/>
          </w:tcPr>
          <w:p w14:paraId="3E5FE58D" w14:textId="77777777" w:rsidR="00FD3FBD" w:rsidRPr="00E94F9C" w:rsidRDefault="00FD3FBD" w:rsidP="00720EAE">
            <w:pPr>
              <w:pStyle w:val="TableEntry"/>
            </w:pPr>
          </w:p>
        </w:tc>
        <w:tc>
          <w:tcPr>
            <w:tcW w:w="540" w:type="dxa"/>
            <w:shd w:val="clear" w:color="auto" w:fill="auto"/>
          </w:tcPr>
          <w:p w14:paraId="7FF63666" w14:textId="77777777" w:rsidR="00FD3FBD" w:rsidRPr="00E94F9C" w:rsidRDefault="00FD3FBD" w:rsidP="00720EAE">
            <w:pPr>
              <w:pStyle w:val="TableEntry"/>
            </w:pPr>
          </w:p>
        </w:tc>
        <w:tc>
          <w:tcPr>
            <w:tcW w:w="540" w:type="dxa"/>
            <w:shd w:val="clear" w:color="auto" w:fill="auto"/>
          </w:tcPr>
          <w:p w14:paraId="2391E1A4" w14:textId="77777777" w:rsidR="00FD3FBD" w:rsidRPr="00E94F9C" w:rsidRDefault="00FD3FBD" w:rsidP="00720EAE">
            <w:pPr>
              <w:pStyle w:val="TableEntry"/>
            </w:pPr>
            <w:r w:rsidRPr="00E94F9C">
              <w:t>∙</w:t>
            </w:r>
          </w:p>
        </w:tc>
        <w:tc>
          <w:tcPr>
            <w:tcW w:w="540" w:type="dxa"/>
            <w:shd w:val="clear" w:color="auto" w:fill="auto"/>
          </w:tcPr>
          <w:p w14:paraId="2E8A0A59" w14:textId="77777777" w:rsidR="00FD3FBD" w:rsidRPr="00E94F9C" w:rsidRDefault="00FD3FBD" w:rsidP="00720EAE">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720EAE">
            <w:pPr>
              <w:pStyle w:val="TableEntry"/>
            </w:pPr>
            <w:r w:rsidRPr="00E94F9C">
              <w:t>Basic Patient Privacy Consents</w:t>
            </w:r>
          </w:p>
        </w:tc>
        <w:tc>
          <w:tcPr>
            <w:tcW w:w="236" w:type="dxa"/>
            <w:shd w:val="clear" w:color="auto" w:fill="auto"/>
          </w:tcPr>
          <w:p w14:paraId="2C29F697" w14:textId="77777777" w:rsidR="00FD3FBD" w:rsidRPr="00E94F9C" w:rsidRDefault="00FD3FBD" w:rsidP="00720EAE">
            <w:pPr>
              <w:pStyle w:val="TableEntry"/>
            </w:pPr>
          </w:p>
        </w:tc>
        <w:tc>
          <w:tcPr>
            <w:tcW w:w="767" w:type="dxa"/>
            <w:shd w:val="clear" w:color="auto" w:fill="auto"/>
          </w:tcPr>
          <w:p w14:paraId="60E5BE51" w14:textId="77777777" w:rsidR="00FD3FBD" w:rsidRPr="00E94F9C" w:rsidRDefault="00FD3FBD" w:rsidP="00720EAE">
            <w:pPr>
              <w:pStyle w:val="TableEntry"/>
            </w:pPr>
          </w:p>
        </w:tc>
        <w:tc>
          <w:tcPr>
            <w:tcW w:w="631" w:type="dxa"/>
            <w:shd w:val="clear" w:color="auto" w:fill="auto"/>
          </w:tcPr>
          <w:p w14:paraId="68C323DB" w14:textId="77777777" w:rsidR="00FD3FBD" w:rsidRPr="00E94F9C" w:rsidRDefault="00FD3FBD" w:rsidP="00720EAE">
            <w:pPr>
              <w:pStyle w:val="TableEntry"/>
            </w:pPr>
            <w:r w:rsidRPr="00E94F9C">
              <w:t>∙</w:t>
            </w:r>
          </w:p>
        </w:tc>
        <w:tc>
          <w:tcPr>
            <w:tcW w:w="540" w:type="dxa"/>
            <w:shd w:val="clear" w:color="auto" w:fill="auto"/>
          </w:tcPr>
          <w:p w14:paraId="2143811F" w14:textId="77777777" w:rsidR="00FD3FBD" w:rsidRPr="00E94F9C" w:rsidRDefault="00FD3FBD" w:rsidP="00720EAE">
            <w:pPr>
              <w:pStyle w:val="TableEntry"/>
            </w:pPr>
          </w:p>
        </w:tc>
        <w:tc>
          <w:tcPr>
            <w:tcW w:w="540" w:type="dxa"/>
            <w:shd w:val="clear" w:color="auto" w:fill="auto"/>
          </w:tcPr>
          <w:p w14:paraId="35BD3FB4" w14:textId="77777777" w:rsidR="00FD3FBD" w:rsidRPr="00E94F9C" w:rsidRDefault="00FD3FBD" w:rsidP="00720EAE">
            <w:pPr>
              <w:pStyle w:val="TableEntry"/>
            </w:pPr>
          </w:p>
        </w:tc>
        <w:tc>
          <w:tcPr>
            <w:tcW w:w="540" w:type="dxa"/>
            <w:shd w:val="clear" w:color="auto" w:fill="auto"/>
          </w:tcPr>
          <w:p w14:paraId="3841B422" w14:textId="77777777" w:rsidR="00FD3FBD" w:rsidRPr="00E94F9C" w:rsidRDefault="00FD3FBD" w:rsidP="00720EAE">
            <w:pPr>
              <w:pStyle w:val="TableEntry"/>
            </w:pPr>
          </w:p>
        </w:tc>
        <w:tc>
          <w:tcPr>
            <w:tcW w:w="540" w:type="dxa"/>
            <w:shd w:val="clear" w:color="auto" w:fill="auto"/>
          </w:tcPr>
          <w:p w14:paraId="4BA84ABA" w14:textId="77777777" w:rsidR="00FD3FBD" w:rsidRPr="00E94F9C" w:rsidRDefault="00FD3FBD" w:rsidP="00720EAE">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40C4489" w:rsidR="00FD3FBD" w:rsidRPr="00E94F9C" w:rsidRDefault="00FD3FBD" w:rsidP="00720EAE">
            <w:pPr>
              <w:pStyle w:val="TableEntry"/>
            </w:pPr>
            <w:r>
              <w:t xml:space="preserve">mobile Care </w:t>
            </w:r>
            <w:proofErr w:type="spellStart"/>
            <w:r>
              <w:t>Services</w:t>
            </w:r>
            <w:r w:rsidRPr="00E94F9C">
              <w:t>r</w:t>
            </w:r>
            <w:proofErr w:type="spellEnd"/>
            <w:r w:rsidRPr="00E94F9C">
              <w:t xml:space="preserve"> Directory</w:t>
            </w:r>
          </w:p>
        </w:tc>
        <w:tc>
          <w:tcPr>
            <w:tcW w:w="236" w:type="dxa"/>
            <w:shd w:val="clear" w:color="auto" w:fill="auto"/>
          </w:tcPr>
          <w:p w14:paraId="4D0022B3" w14:textId="77777777" w:rsidR="00FD3FBD" w:rsidRPr="00E94F9C" w:rsidRDefault="00FD3FBD" w:rsidP="00720EAE">
            <w:pPr>
              <w:pStyle w:val="TableEntry"/>
            </w:pPr>
          </w:p>
        </w:tc>
        <w:tc>
          <w:tcPr>
            <w:tcW w:w="767" w:type="dxa"/>
            <w:shd w:val="clear" w:color="auto" w:fill="auto"/>
          </w:tcPr>
          <w:p w14:paraId="193FFCC1" w14:textId="77777777" w:rsidR="00FD3FBD" w:rsidRPr="00E94F9C" w:rsidRDefault="00FD3FBD" w:rsidP="00720EAE">
            <w:pPr>
              <w:pStyle w:val="TableEntry"/>
            </w:pPr>
            <w:r w:rsidRPr="00E94F9C">
              <w:t>√</w:t>
            </w:r>
          </w:p>
        </w:tc>
        <w:tc>
          <w:tcPr>
            <w:tcW w:w="631" w:type="dxa"/>
            <w:shd w:val="clear" w:color="auto" w:fill="auto"/>
          </w:tcPr>
          <w:p w14:paraId="46D035C7" w14:textId="77777777" w:rsidR="00FD3FBD" w:rsidRPr="00E94F9C" w:rsidRDefault="00FD3FBD" w:rsidP="00720EAE">
            <w:pPr>
              <w:pStyle w:val="TableEntry"/>
            </w:pPr>
            <w:r w:rsidRPr="00E94F9C">
              <w:t>∙</w:t>
            </w:r>
          </w:p>
        </w:tc>
        <w:tc>
          <w:tcPr>
            <w:tcW w:w="540" w:type="dxa"/>
            <w:shd w:val="clear" w:color="auto" w:fill="auto"/>
          </w:tcPr>
          <w:p w14:paraId="3CABFFF1" w14:textId="77777777" w:rsidR="00FD3FBD" w:rsidRPr="00E94F9C" w:rsidRDefault="00FD3FBD" w:rsidP="00720EAE">
            <w:pPr>
              <w:pStyle w:val="TableEntry"/>
            </w:pPr>
          </w:p>
        </w:tc>
        <w:tc>
          <w:tcPr>
            <w:tcW w:w="540" w:type="dxa"/>
            <w:shd w:val="clear" w:color="auto" w:fill="auto"/>
          </w:tcPr>
          <w:p w14:paraId="2D868290" w14:textId="77777777" w:rsidR="00FD3FBD" w:rsidRPr="00E94F9C" w:rsidRDefault="00FD3FBD" w:rsidP="00720EAE">
            <w:pPr>
              <w:pStyle w:val="TableEntry"/>
            </w:pPr>
          </w:p>
        </w:tc>
        <w:tc>
          <w:tcPr>
            <w:tcW w:w="540" w:type="dxa"/>
            <w:shd w:val="clear" w:color="auto" w:fill="auto"/>
          </w:tcPr>
          <w:p w14:paraId="1C4BA921" w14:textId="77777777" w:rsidR="00FD3FBD" w:rsidRPr="00E94F9C" w:rsidRDefault="00FD3FBD" w:rsidP="00720EAE">
            <w:pPr>
              <w:pStyle w:val="TableEntry"/>
            </w:pPr>
            <w:r w:rsidRPr="00E94F9C">
              <w:t>∙</w:t>
            </w:r>
          </w:p>
        </w:tc>
        <w:tc>
          <w:tcPr>
            <w:tcW w:w="540" w:type="dxa"/>
            <w:shd w:val="clear" w:color="auto" w:fill="auto"/>
          </w:tcPr>
          <w:p w14:paraId="1DA41029" w14:textId="77777777" w:rsidR="00FD3FBD" w:rsidRPr="00E94F9C" w:rsidRDefault="00FD3FBD" w:rsidP="00720EAE">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720EAE">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720EAE">
            <w:pPr>
              <w:pStyle w:val="TableEntry"/>
            </w:pPr>
          </w:p>
        </w:tc>
        <w:tc>
          <w:tcPr>
            <w:tcW w:w="767" w:type="dxa"/>
            <w:shd w:val="clear" w:color="auto" w:fill="auto"/>
          </w:tcPr>
          <w:p w14:paraId="1826E611" w14:textId="77777777" w:rsidR="00FD3FBD" w:rsidRPr="00E94F9C" w:rsidRDefault="00FD3FBD" w:rsidP="00720EAE">
            <w:pPr>
              <w:pStyle w:val="TableEntry"/>
            </w:pPr>
            <w:r w:rsidRPr="00E94F9C">
              <w:t>√</w:t>
            </w:r>
          </w:p>
        </w:tc>
        <w:tc>
          <w:tcPr>
            <w:tcW w:w="631" w:type="dxa"/>
            <w:shd w:val="clear" w:color="auto" w:fill="auto"/>
          </w:tcPr>
          <w:p w14:paraId="2754C9C2" w14:textId="77777777" w:rsidR="00FD3FBD" w:rsidRPr="00E94F9C" w:rsidRDefault="00FD3FBD" w:rsidP="00720EAE">
            <w:pPr>
              <w:pStyle w:val="TableEntry"/>
            </w:pPr>
          </w:p>
        </w:tc>
        <w:tc>
          <w:tcPr>
            <w:tcW w:w="540" w:type="dxa"/>
            <w:shd w:val="clear" w:color="auto" w:fill="auto"/>
          </w:tcPr>
          <w:p w14:paraId="7ACCD810" w14:textId="77777777" w:rsidR="00FD3FBD" w:rsidRPr="00E94F9C" w:rsidRDefault="00FD3FBD" w:rsidP="00720EAE">
            <w:pPr>
              <w:pStyle w:val="TableEntry"/>
            </w:pPr>
          </w:p>
        </w:tc>
        <w:tc>
          <w:tcPr>
            <w:tcW w:w="540" w:type="dxa"/>
            <w:shd w:val="clear" w:color="auto" w:fill="auto"/>
          </w:tcPr>
          <w:p w14:paraId="1F89CDAF" w14:textId="77777777" w:rsidR="00FD3FBD" w:rsidRPr="00E94F9C" w:rsidRDefault="00FD3FBD" w:rsidP="00720EAE">
            <w:pPr>
              <w:pStyle w:val="TableEntry"/>
            </w:pPr>
            <w:r w:rsidRPr="00E94F9C">
              <w:t>√</w:t>
            </w:r>
          </w:p>
        </w:tc>
        <w:tc>
          <w:tcPr>
            <w:tcW w:w="540" w:type="dxa"/>
            <w:shd w:val="clear" w:color="auto" w:fill="auto"/>
          </w:tcPr>
          <w:p w14:paraId="04A46D66" w14:textId="77777777" w:rsidR="00FD3FBD" w:rsidRPr="00E94F9C" w:rsidRDefault="00FD3FBD" w:rsidP="00720EAE">
            <w:pPr>
              <w:pStyle w:val="TableEntry"/>
            </w:pPr>
            <w:r w:rsidRPr="00E94F9C">
              <w:t>√</w:t>
            </w:r>
          </w:p>
        </w:tc>
        <w:tc>
          <w:tcPr>
            <w:tcW w:w="540" w:type="dxa"/>
            <w:shd w:val="clear" w:color="auto" w:fill="auto"/>
          </w:tcPr>
          <w:p w14:paraId="330585B9" w14:textId="77777777" w:rsidR="00FD3FBD" w:rsidRPr="00E94F9C" w:rsidRDefault="00FD3FBD" w:rsidP="00720EAE">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720EAE">
            <w:pPr>
              <w:pStyle w:val="TableEntry"/>
            </w:pPr>
            <w:r w:rsidRPr="00E94F9C">
              <w:t>Document Encryption (in development)</w:t>
            </w:r>
          </w:p>
        </w:tc>
        <w:tc>
          <w:tcPr>
            <w:tcW w:w="236" w:type="dxa"/>
            <w:shd w:val="clear" w:color="auto" w:fill="auto"/>
          </w:tcPr>
          <w:p w14:paraId="4581579D" w14:textId="77777777" w:rsidR="00FD3FBD" w:rsidRPr="00E94F9C" w:rsidRDefault="00FD3FBD" w:rsidP="00720EAE">
            <w:pPr>
              <w:pStyle w:val="TableEntry"/>
            </w:pPr>
          </w:p>
        </w:tc>
        <w:tc>
          <w:tcPr>
            <w:tcW w:w="767" w:type="dxa"/>
            <w:shd w:val="clear" w:color="auto" w:fill="auto"/>
          </w:tcPr>
          <w:p w14:paraId="0E0AF270" w14:textId="77777777" w:rsidR="00FD3FBD" w:rsidRPr="00E94F9C" w:rsidRDefault="00FD3FBD" w:rsidP="00720EAE">
            <w:pPr>
              <w:pStyle w:val="TableEntry"/>
            </w:pPr>
          </w:p>
        </w:tc>
        <w:tc>
          <w:tcPr>
            <w:tcW w:w="631" w:type="dxa"/>
            <w:shd w:val="clear" w:color="auto" w:fill="auto"/>
          </w:tcPr>
          <w:p w14:paraId="55036257" w14:textId="77777777" w:rsidR="00FD3FBD" w:rsidRPr="00E94F9C" w:rsidRDefault="00FD3FBD" w:rsidP="00720EAE">
            <w:pPr>
              <w:pStyle w:val="TableEntry"/>
            </w:pPr>
            <w:r w:rsidRPr="00E94F9C">
              <w:t>√</w:t>
            </w:r>
          </w:p>
        </w:tc>
        <w:tc>
          <w:tcPr>
            <w:tcW w:w="540" w:type="dxa"/>
            <w:shd w:val="clear" w:color="auto" w:fill="auto"/>
          </w:tcPr>
          <w:p w14:paraId="7DE09186" w14:textId="77777777" w:rsidR="00FD3FBD" w:rsidRPr="00E94F9C" w:rsidRDefault="00FD3FBD" w:rsidP="00720EAE">
            <w:pPr>
              <w:pStyle w:val="TableEntry"/>
            </w:pPr>
            <w:r w:rsidRPr="00E94F9C">
              <w:t>√</w:t>
            </w:r>
          </w:p>
        </w:tc>
        <w:tc>
          <w:tcPr>
            <w:tcW w:w="540" w:type="dxa"/>
            <w:shd w:val="clear" w:color="auto" w:fill="auto"/>
          </w:tcPr>
          <w:p w14:paraId="2B3BAD6E" w14:textId="77777777" w:rsidR="00FD3FBD" w:rsidRPr="00E94F9C" w:rsidRDefault="00FD3FBD" w:rsidP="00720EAE">
            <w:pPr>
              <w:pStyle w:val="TableEntry"/>
            </w:pPr>
            <w:r w:rsidRPr="00E94F9C">
              <w:t>∙</w:t>
            </w:r>
          </w:p>
        </w:tc>
        <w:tc>
          <w:tcPr>
            <w:tcW w:w="540" w:type="dxa"/>
            <w:shd w:val="clear" w:color="auto" w:fill="auto"/>
          </w:tcPr>
          <w:p w14:paraId="2B79103B" w14:textId="77777777" w:rsidR="00FD3FBD" w:rsidRPr="00E94F9C" w:rsidRDefault="00FD3FBD" w:rsidP="00720EAE">
            <w:pPr>
              <w:pStyle w:val="TableEntry"/>
            </w:pPr>
          </w:p>
        </w:tc>
        <w:tc>
          <w:tcPr>
            <w:tcW w:w="540" w:type="dxa"/>
            <w:shd w:val="clear" w:color="auto" w:fill="auto"/>
          </w:tcPr>
          <w:p w14:paraId="5E7074E8" w14:textId="77777777" w:rsidR="00FD3FBD" w:rsidRPr="00E94F9C" w:rsidRDefault="00FD3FBD" w:rsidP="00720EAE">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5D3D00DA" w:rsidR="00167DB7" w:rsidRPr="00D26514" w:rsidRDefault="00167DB7" w:rsidP="00167DB7">
      <w:pPr>
        <w:pStyle w:val="Heading2"/>
        <w:numPr>
          <w:ilvl w:val="0"/>
          <w:numId w:val="0"/>
        </w:numPr>
        <w:rPr>
          <w:noProof w:val="0"/>
        </w:rPr>
      </w:pPr>
      <w:bookmarkStart w:id="270" w:name="_Toc345074665"/>
      <w:bookmarkStart w:id="271" w:name="_Toc500238765"/>
      <w:r w:rsidRPr="00D26514">
        <w:rPr>
          <w:noProof w:val="0"/>
        </w:rPr>
        <w:t>X.</w:t>
      </w:r>
      <w:r w:rsidR="00AF472E" w:rsidRPr="00D26514">
        <w:rPr>
          <w:noProof w:val="0"/>
        </w:rPr>
        <w:t>6</w:t>
      </w:r>
      <w:r w:rsidRPr="00D26514">
        <w:rPr>
          <w:noProof w:val="0"/>
        </w:rPr>
        <w:t xml:space="preserve"> </w:t>
      </w:r>
      <w:r w:rsidR="00C625FC">
        <w:rPr>
          <w:noProof w:val="0"/>
        </w:rPr>
        <w:t>MHD-HIE</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270"/>
      <w:bookmarkEnd w:id="271"/>
    </w:p>
    <w:bookmarkEnd w:id="92"/>
    <w:bookmarkEnd w:id="93"/>
    <w:bookmarkEnd w:id="94"/>
    <w:bookmarkEnd w:id="95"/>
    <w:bookmarkEnd w:id="96"/>
    <w:p w14:paraId="5CDFD137" w14:textId="329FE8E0" w:rsidR="000514E1" w:rsidRPr="00D26514" w:rsidRDefault="00C625FC" w:rsidP="00167DB7">
      <w:pPr>
        <w:rPr>
          <w:i/>
        </w:rPr>
      </w:pPr>
      <w:r w:rsidRPr="00C625FC">
        <w:rPr>
          <w:i/>
          <w:highlight w:val="yellow"/>
        </w:rPr>
        <w:t xml:space="preserve">TODO: Discuss mXDE/QEDm, </w:t>
      </w:r>
      <w:proofErr w:type="spellStart"/>
      <w:r w:rsidRPr="00C625FC">
        <w:rPr>
          <w:i/>
          <w:highlight w:val="yellow"/>
        </w:rPr>
        <w:t>mACM</w:t>
      </w:r>
      <w:proofErr w:type="spellEnd"/>
      <w:r w:rsidRPr="00C625FC">
        <w:rPr>
          <w:i/>
          <w:highlight w:val="yellow"/>
        </w:rPr>
        <w:t xml:space="preserve">, </w:t>
      </w:r>
      <w:proofErr w:type="spellStart"/>
      <w:r w:rsidRPr="00C625FC">
        <w:rPr>
          <w:i/>
          <w:highlight w:val="yellow"/>
        </w:rPr>
        <w:t>etc</w:t>
      </w:r>
      <w:proofErr w:type="spellEnd"/>
      <w:r w:rsidRPr="00C625FC">
        <w:rPr>
          <w:i/>
          <w:highlight w:val="yellow"/>
        </w:rPr>
        <w:t>?</w:t>
      </w:r>
    </w:p>
    <w:sectPr w:rsidR="000514E1" w:rsidRPr="00D26514" w:rsidSect="00060817">
      <w:headerReference w:type="default" r:id="rId53"/>
      <w:footerReference w:type="even" r:id="rId54"/>
      <w:footerReference w:type="default" r:id="rId55"/>
      <w:footerReference w:type="first" r:id="rId5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9" w:author="John Moehrke" w:date="2019-11-07T15:13:00Z" w:initials="JM">
    <w:p w14:paraId="40958D05" w14:textId="77777777" w:rsidR="00C625FC" w:rsidRDefault="00C625FC">
      <w:pPr>
        <w:pStyle w:val="CommentText"/>
      </w:pPr>
      <w:r>
        <w:rPr>
          <w:rStyle w:val="CommentReference"/>
        </w:rPr>
        <w:annotationRef/>
      </w:r>
      <w:r>
        <w:t>I tried to be very conservative at the changes</w:t>
      </w:r>
    </w:p>
    <w:p w14:paraId="55FFB9F8" w14:textId="77777777" w:rsidR="00C625FC" w:rsidRDefault="00C625FC" w:rsidP="00C625FC">
      <w:pPr>
        <w:pStyle w:val="CommentText"/>
        <w:numPr>
          <w:ilvl w:val="0"/>
          <w:numId w:val="27"/>
        </w:numPr>
      </w:pPr>
      <w:r>
        <w:t>Changed references to self “whitepaper” to self “MHD-HIE Profile”</w:t>
      </w:r>
    </w:p>
    <w:p w14:paraId="4AD7DD46" w14:textId="77777777" w:rsidR="00C625FC" w:rsidRDefault="00C625FC" w:rsidP="00C625FC">
      <w:pPr>
        <w:pStyle w:val="CommentText"/>
        <w:numPr>
          <w:ilvl w:val="0"/>
          <w:numId w:val="27"/>
        </w:numPr>
      </w:pPr>
      <w:r>
        <w:t>Focused on single community exchange and not push or cross-community</w:t>
      </w:r>
    </w:p>
    <w:p w14:paraId="5D69C54D" w14:textId="77777777" w:rsidR="00C625FC" w:rsidRDefault="00C625FC" w:rsidP="00C625FC">
      <w:pPr>
        <w:pStyle w:val="CommentText"/>
        <w:numPr>
          <w:ilvl w:val="0"/>
          <w:numId w:val="27"/>
        </w:numPr>
      </w:pPr>
      <w:r>
        <w:t>Aligned everything up +2 Header levels to fit this section.</w:t>
      </w:r>
    </w:p>
    <w:p w14:paraId="659407C5" w14:textId="77777777" w:rsidR="00C625FC" w:rsidRDefault="00C625FC" w:rsidP="00C625FC">
      <w:pPr>
        <w:pStyle w:val="CommentText"/>
        <w:numPr>
          <w:ilvl w:val="0"/>
          <w:numId w:val="27"/>
        </w:numPr>
      </w:pPr>
      <w:r>
        <w:t>Previous references to other sections were word hot links, I didn’t know how to maintain them, so just changed them to text</w:t>
      </w:r>
    </w:p>
    <w:p w14:paraId="6C4B645A" w14:textId="706F9340" w:rsidR="00C625FC" w:rsidRDefault="00C625FC" w:rsidP="00C625FC">
      <w:pPr>
        <w:pStyle w:val="CommentText"/>
        <w:numPr>
          <w:ilvl w:val="0"/>
          <w:numId w:val="27"/>
        </w:numPr>
      </w:pPr>
      <w:r>
        <w:t xml:space="preserve">Any other big changes I highlight </w:t>
      </w:r>
    </w:p>
  </w:comment>
  <w:comment w:id="105" w:author="John Moehrke" w:date="2019-11-07T15:15:00Z" w:initials="JM">
    <w:p w14:paraId="0CEF3F13" w14:textId="6C1C1A2C" w:rsidR="00C625FC" w:rsidRDefault="00C625FC">
      <w:pPr>
        <w:pStyle w:val="CommentText"/>
      </w:pPr>
      <w:r>
        <w:rPr>
          <w:rStyle w:val="CommentReference"/>
        </w:rPr>
        <w:annotationRef/>
      </w:r>
      <w:r>
        <w:t xml:space="preserve">I think </w:t>
      </w:r>
      <w:proofErr w:type="spellStart"/>
      <w:r>
        <w:t>epSOS</w:t>
      </w:r>
      <w:proofErr w:type="spellEnd"/>
      <w:r>
        <w:t xml:space="preserve"> has been replaced</w:t>
      </w:r>
    </w:p>
  </w:comment>
  <w:comment w:id="114" w:author="John Moehrke" w:date="2019-11-07T15:28:00Z" w:initials="JM">
    <w:p w14:paraId="067126D8" w14:textId="7494F3B0" w:rsidR="00C625FC" w:rsidRDefault="00C625FC">
      <w:pPr>
        <w:pStyle w:val="CommentText"/>
      </w:pPr>
      <w:r>
        <w:rPr>
          <w:rStyle w:val="CommentReference"/>
        </w:rPr>
        <w:annotationRef/>
      </w:r>
      <w:r>
        <w:t>Added for clarity</w:t>
      </w:r>
    </w:p>
  </w:comment>
  <w:comment w:id="164" w:author="John Moehrke" w:date="2019-11-07T15:41:00Z" w:initials="JM">
    <w:p w14:paraId="0211DE65" w14:textId="6425A943" w:rsidR="00C625FC" w:rsidRDefault="00C625FC">
      <w:pPr>
        <w:pStyle w:val="CommentText"/>
      </w:pPr>
      <w:r>
        <w:rPr>
          <w:rStyle w:val="CommentReference"/>
        </w:rPr>
        <w:annotationRef/>
      </w:r>
      <w:r>
        <w:t>added</w:t>
      </w:r>
    </w:p>
  </w:comment>
  <w:comment w:id="165" w:author="John Moehrke" w:date="2019-11-07T16:12:00Z" w:initials="JM">
    <w:p w14:paraId="1851C179" w14:textId="5C392F7F" w:rsidR="00C625FC" w:rsidRDefault="00C625FC">
      <w:pPr>
        <w:pStyle w:val="CommentText"/>
      </w:pPr>
      <w:r>
        <w:rPr>
          <w:rStyle w:val="CommentReference"/>
        </w:rPr>
        <w:annotationRef/>
      </w:r>
      <w:r>
        <w:t>added for clarity</w:t>
      </w:r>
    </w:p>
  </w:comment>
  <w:comment w:id="170" w:author="John Moehrke" w:date="2019-11-07T15:58:00Z" w:initials="JM">
    <w:p w14:paraId="6C7A8DE4" w14:textId="28E5ADCF" w:rsidR="00C625FC" w:rsidRDefault="00C625FC">
      <w:pPr>
        <w:pStyle w:val="CommentText"/>
      </w:pPr>
      <w:r>
        <w:rPr>
          <w:rStyle w:val="CommentReference"/>
        </w:rPr>
        <w:annotationRef/>
      </w:r>
      <w:r>
        <w:t xml:space="preserve">Should we leave this in, and then explain that MHD-HIE is only addressing </w:t>
      </w:r>
      <w:proofErr w:type="spellStart"/>
      <w:r>
        <w:t>Ceneteralized</w:t>
      </w:r>
      <w:proofErr w:type="spellEnd"/>
      <w:r>
        <w:t>?</w:t>
      </w:r>
    </w:p>
  </w:comment>
  <w:comment w:id="173" w:author="John Moehrke" w:date="2019-11-07T16:03:00Z" w:initials="JM">
    <w:p w14:paraId="6A43D740" w14:textId="09A0E1B0" w:rsidR="00C625FC" w:rsidRDefault="00C625FC">
      <w:pPr>
        <w:pStyle w:val="CommentText"/>
      </w:pPr>
      <w:r>
        <w:rPr>
          <w:rStyle w:val="CommentReference"/>
        </w:rPr>
        <w:annotationRef/>
      </w:r>
      <w:r>
        <w:t>Could be simplified to just MHD-HIE model</w:t>
      </w:r>
    </w:p>
  </w:comment>
  <w:comment w:id="174" w:author="John Moehrke" w:date="2019-11-07T16:27:00Z" w:initials="JM">
    <w:p w14:paraId="6D45789E" w14:textId="56069DC3" w:rsidR="00C625FC" w:rsidRDefault="00C625FC">
      <w:pPr>
        <w:pStyle w:val="CommentText"/>
      </w:pPr>
      <w:r>
        <w:rPr>
          <w:rStyle w:val="CommentReference"/>
        </w:rPr>
        <w:annotationRef/>
      </w:r>
      <w:r>
        <w:t xml:space="preserve">Seems this should be removed, </w:t>
      </w:r>
      <w:proofErr w:type="gramStart"/>
      <w:r>
        <w:t>more clear</w:t>
      </w:r>
      <w:proofErr w:type="gramEnd"/>
      <w:r>
        <w:t xml:space="preserve"> it is different than MHD-HIE, or aligned with MHD-HIE itself?????</w:t>
      </w:r>
    </w:p>
  </w:comment>
  <w:comment w:id="179" w:author="John Moehrke" w:date="2019-11-07T16:49:00Z" w:initials="JM">
    <w:p w14:paraId="5465B568" w14:textId="7BCD0F37" w:rsidR="00C625FC" w:rsidRDefault="00C625FC">
      <w:pPr>
        <w:pStyle w:val="CommentText"/>
      </w:pPr>
      <w:r>
        <w:rPr>
          <w:rStyle w:val="CommentReference"/>
        </w:rPr>
        <w:annotationRef/>
      </w:r>
      <w:r>
        <w:t>Shortened to this</w:t>
      </w:r>
    </w:p>
  </w:comment>
  <w:comment w:id="181" w:author="John Moehrke" w:date="2019-11-07T16:57:00Z" w:initials="JM">
    <w:p w14:paraId="297DD9EC" w14:textId="41259590" w:rsidR="00C625FC" w:rsidRDefault="00C625FC">
      <w:pPr>
        <w:pStyle w:val="CommentText"/>
      </w:pPr>
      <w:r>
        <w:rPr>
          <w:rStyle w:val="CommentReference"/>
        </w:rPr>
        <w:annotationRef/>
      </w:r>
      <w:r>
        <w:t>Removed some diagrams that were not clear</w:t>
      </w:r>
    </w:p>
  </w:comment>
  <w:comment w:id="240" w:author="John Moehrke" w:date="2019-11-07T17:55:00Z" w:initials="JM">
    <w:p w14:paraId="77621C8B" w14:textId="5915F2AB" w:rsidR="00FD3FBD" w:rsidRDefault="00FD3FBD">
      <w:pPr>
        <w:pStyle w:val="CommentText"/>
      </w:pPr>
      <w:r>
        <w:rPr>
          <w:rStyle w:val="CommentReference"/>
        </w:rPr>
        <w:annotationRef/>
      </w:r>
      <w:r>
        <w:t>Need a better example. This is NOT clinically correct.</w:t>
      </w:r>
    </w:p>
  </w:comment>
  <w:comment w:id="244" w:author="John Moehrke" w:date="2019-11-07T17:56:00Z" w:initials="JM">
    <w:p w14:paraId="4B013BF7" w14:textId="40CDF1A6" w:rsidR="00FD3FBD" w:rsidRDefault="00FD3FBD">
      <w:pPr>
        <w:pStyle w:val="CommentText"/>
      </w:pPr>
      <w:r>
        <w:rPr>
          <w:rStyle w:val="CommentReference"/>
        </w:rPr>
        <w:annotationRef/>
      </w:r>
      <w:r>
        <w:t>I would be happy to have someone update this with GDPR specifics. But we should not just update to GDPR and lose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B645A" w15:done="0"/>
  <w15:commentEx w15:paraId="0CEF3F13"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B645A" w16cid:durableId="216EB31E"/>
  <w16cid:commentId w16cid:paraId="0CEF3F13" w16cid:durableId="216EB37D"/>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0DB65" w14:textId="77777777" w:rsidR="00902231" w:rsidRDefault="00902231">
      <w:r>
        <w:separator/>
      </w:r>
    </w:p>
  </w:endnote>
  <w:endnote w:type="continuationSeparator" w:id="0">
    <w:p w14:paraId="34AAF468" w14:textId="77777777" w:rsidR="00902231" w:rsidRDefault="00902231">
      <w:r>
        <w:continuationSeparator/>
      </w:r>
    </w:p>
  </w:endnote>
  <w:endnote w:type="continuationNotice" w:id="1">
    <w:p w14:paraId="48DD919B" w14:textId="77777777" w:rsidR="00902231" w:rsidRDefault="0090223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CE136C" w:rsidRDefault="00CE13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CE136C" w:rsidRDefault="00CE1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CE136C" w:rsidRDefault="00CE136C">
    <w:pPr>
      <w:pStyle w:val="Footer"/>
      <w:ind w:right="360"/>
    </w:pPr>
    <w:r>
      <w:t>___________________________________________________________________________</w:t>
    </w:r>
  </w:p>
  <w:p w14:paraId="0E257CB6" w14:textId="77777777" w:rsidR="00CE136C" w:rsidRDefault="00CE136C" w:rsidP="00597DB2">
    <w:pPr>
      <w:pStyle w:val="Footer"/>
      <w:ind w:right="360"/>
      <w:rPr>
        <w:sz w:val="20"/>
      </w:rPr>
    </w:pPr>
    <w:bookmarkStart w:id="27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272"/>
  </w:p>
  <w:p w14:paraId="4F2E1CAC" w14:textId="6B3D1533" w:rsidR="00CE136C" w:rsidRDefault="00CE136C"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CE136C" w:rsidRDefault="00CE136C">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0F00" w14:textId="77777777" w:rsidR="00902231" w:rsidRDefault="00902231">
      <w:r>
        <w:separator/>
      </w:r>
    </w:p>
  </w:footnote>
  <w:footnote w:type="continuationSeparator" w:id="0">
    <w:p w14:paraId="0A624798" w14:textId="77777777" w:rsidR="00902231" w:rsidRDefault="00902231">
      <w:r>
        <w:continuationSeparator/>
      </w:r>
    </w:p>
  </w:footnote>
  <w:footnote w:type="continuationNotice" w:id="1">
    <w:p w14:paraId="69EC6D23" w14:textId="77777777" w:rsidR="00902231" w:rsidRDefault="00902231">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CE136C" w:rsidRDefault="00CE136C">
    <w:pPr>
      <w:pStyle w:val="Header"/>
    </w:pPr>
    <w:r>
      <w:t>IHE &lt;Domain Name&gt; Technical Framework Supplement – &lt;Profile Name (Profile Acronym)&gt;</w:t>
    </w:r>
  </w:p>
  <w:p w14:paraId="5E0ED4C7" w14:textId="77777777" w:rsidR="00CE136C" w:rsidRDefault="00CE136C">
    <w:pPr>
      <w:pStyle w:val="Header"/>
    </w:pPr>
    <w:r>
      <w:t>______________________________________________________________________________</w:t>
    </w:r>
  </w:p>
  <w:p w14:paraId="7A05B91F" w14:textId="77777777" w:rsidR="00CE136C" w:rsidRDefault="00CE1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C3A55"/>
    <w:multiLevelType w:val="multilevel"/>
    <w:tmpl w:val="7B943E18"/>
    <w:numStyleLink w:val="Constraints"/>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7"/>
  </w:num>
  <w:num w:numId="12">
    <w:abstractNumId w:val="17"/>
  </w:num>
  <w:num w:numId="13">
    <w:abstractNumId w:val="1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8"/>
  </w:num>
  <w:num w:numId="15">
    <w:abstractNumId w:val="21"/>
  </w:num>
  <w:num w:numId="16">
    <w:abstractNumId w:val="24"/>
  </w:num>
  <w:num w:numId="17">
    <w:abstractNumId w:val="19"/>
  </w:num>
  <w:num w:numId="18">
    <w:abstractNumId w:val="13"/>
  </w:num>
  <w:num w:numId="19">
    <w:abstractNumId w:val="20"/>
  </w:num>
  <w:num w:numId="20">
    <w:abstractNumId w:val="23"/>
  </w:num>
  <w:num w:numId="21">
    <w:abstractNumId w:val="10"/>
  </w:num>
  <w:num w:numId="22">
    <w:abstractNumId w:val="14"/>
  </w:num>
  <w:num w:numId="23">
    <w:abstractNumId w:val="22"/>
  </w:num>
  <w:num w:numId="24">
    <w:abstractNumId w:val="15"/>
  </w:num>
  <w:num w:numId="25">
    <w:abstractNumId w:val="11"/>
  </w:num>
  <w:num w:numId="26">
    <w:abstractNumId w:val="25"/>
  </w:num>
  <w:num w:numId="27">
    <w:abstractNumId w:val="26"/>
  </w:num>
  <w:num w:numId="28">
    <w:abstractNumId w:val="12"/>
  </w:num>
  <w:num w:numId="29">
    <w:abstractNumId w:val="8"/>
    <w:lvlOverride w:ilvl="0">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680D"/>
    <w:rsid w:val="002F69C5"/>
    <w:rsid w:val="00300B8F"/>
    <w:rsid w:val="003036BB"/>
    <w:rsid w:val="00303E20"/>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5932"/>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06774"/>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693"/>
    <w:rsid w:val="00CC0A43"/>
    <w:rsid w:val="00CC0A62"/>
    <w:rsid w:val="00CC4EA3"/>
    <w:rsid w:val="00CC6D50"/>
    <w:rsid w:val="00CD0A74"/>
    <w:rsid w:val="00CD44D7"/>
    <w:rsid w:val="00CD4D46"/>
    <w:rsid w:val="00CD61EF"/>
    <w:rsid w:val="00CD706E"/>
    <w:rsid w:val="00CE0AA5"/>
    <w:rsid w:val="00CE136C"/>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comments" Target="comments.xml"/><Relationship Id="rId21" Type="http://schemas.openxmlformats.org/officeDocument/2006/relationships/hyperlink" Target="http://ihe.net/Templates_Public_Comments/" TargetMode="External"/><Relationship Id="rId34" Type="http://schemas.openxmlformats.org/officeDocument/2006/relationships/hyperlink" Target="https://www.ihe.net/wp-content/uploads/Technical_Framework/upload/IHE_ITI_White-Paper_Enabling-doc-sharing-through-IHE-Profiles_Rev1-0_2012-01-24.pdf" TargetMode="Externa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image" Target="media/image3.png"/><Relationship Id="rId40" Type="http://schemas.microsoft.com/office/2011/relationships/commentsExtended" Target="commentsExtended.xml"/><Relationship Id="rId45" Type="http://schemas.openxmlformats.org/officeDocument/2006/relationships/image" Target="media/image4.png"/><Relationship Id="rId53" Type="http://schemas.openxmlformats.org/officeDocument/2006/relationships/header" Target="header1.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ihe.net/Profile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openxmlformats.org/officeDocument/2006/relationships/hyperlink" Target="https://www.ihe.net/Technical_Framework/upload/IHE_ITI_White_Paper_XDS_Affinity_Domain_Template_TI_2008-12-02.pdf" TargetMode="Externa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hyperlink" Target="http://www.ihe.net/uploadedFiles/Documents/ITI/IHE_ITI_TF_Vol3.pdf" TargetMode="External"/><Relationship Id="rId38" Type="http://schemas.openxmlformats.org/officeDocument/2006/relationships/hyperlink" Target="https://www.ihe.net/wp-content/uploads/Technical_Framework/upload/IHE_ITI_White-Paper_Enabling-doc-sharing-through-IHE-Profiles_Rev1-0_2012-01-24.pdf" TargetMode="External"/><Relationship Id="rId46" Type="http://schemas.openxmlformats.org/officeDocument/2006/relationships/image" Target="media/image5.png"/><Relationship Id="rId59" Type="http://schemas.openxmlformats.org/officeDocument/2006/relationships/theme" Target="theme/theme1.xml"/><Relationship Id="rId20" Type="http://schemas.openxmlformats.org/officeDocument/2006/relationships/hyperlink" Target="http://ihe.net/Technical_Frameworks/" TargetMode="External"/><Relationship Id="rId41" Type="http://schemas.microsoft.com/office/2016/09/relationships/commentsIds" Target="commentsIds.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2.png"/><Relationship Id="rId49" Type="http://schemas.openxmlformats.org/officeDocument/2006/relationships/hyperlink" Target="http://www.ihe.net/uploadedFiles/Documents/ITI/IHE_ITI_TF_Vol3.pdf" TargetMode="External"/><Relationship Id="rId57" Type="http://schemas.openxmlformats.org/officeDocument/2006/relationships/fontTable" Target="fontTable.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ECD8F-9F29-4EEA-B671-C888747B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3237</TotalTime>
  <Pages>46</Pages>
  <Words>16517</Words>
  <Characters>94147</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110444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8</cp:revision>
  <cp:lastPrinted>2012-05-01T14:26:00Z</cp:lastPrinted>
  <dcterms:created xsi:type="dcterms:W3CDTF">2019-10-25T16:29:00Z</dcterms:created>
  <dcterms:modified xsi:type="dcterms:W3CDTF">2019-11-08T00:07:00Z</dcterms:modified>
  <cp:category>IHE Supplement Template</cp:category>
</cp:coreProperties>
</file>