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48476D">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48476D">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48476D">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48476D">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48476D">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48476D">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48476D">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48476D">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48476D">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48476D">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48476D">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48476D">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48476D">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48476D">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48476D">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48476D">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48476D">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48476D">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48476D">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48476D">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48476D">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48476D">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48476D">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48476D">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48476D">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48476D">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48476D">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48476D">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48476D">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48476D">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48476D">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48476D">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48476D">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48476D">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48476D">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48476D">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48476D">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48476D">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48476D">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48476D">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48476D">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48476D">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48476D">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48476D">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48476D">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48476D">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48476D">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48476D">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48476D">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48476D">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48476D">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48476D">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48476D">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48476D">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48476D">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48476D">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48476D">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48476D">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48476D">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48476D">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48476D">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48476D">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48476D">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48476D">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48476D">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48476D">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48476D">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48476D">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48476D">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48476D">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48476D">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48476D">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48476D">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48476D">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48476D">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48476D">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48476D">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48476D">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48476D">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48476D">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48476D">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48476D">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48476D">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48476D">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48476D">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48476D">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48476D">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48476D">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48476D">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48476D">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48476D">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48476D">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48476D">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48476D">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48476D">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48476D">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48476D">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48476D">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48476D">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48476D">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48476D">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48476D">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48476D">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48476D">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48476D">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48476D">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48476D">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48476D">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48476D">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48476D">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48476D">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3" w:name="_n4flh0769pur" w:colFirst="0" w:colLast="0"/>
      <w:bookmarkEnd w:id="3"/>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454AB09A"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w:t>
      </w:r>
      <w:r w:rsidRPr="00755962">
        <w:lastRenderedPageBreak/>
        <w:t>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 Such that</w:t>
      </w:r>
      <w:r w:rsidR="00AF178F">
        <w:t xml:space="preserve"> </w:t>
      </w:r>
      <w:r w:rsidR="0048476D">
        <w:t>any query against any of the</w:t>
      </w:r>
      <w:r w:rsidR="00AF178F">
        <w:t xml:space="preserve"> patient </w:t>
      </w:r>
      <w:r w:rsidR="0048476D">
        <w:t xml:space="preserve">identifiers </w:t>
      </w:r>
      <w:r w:rsidR="00AF178F">
        <w:t xml:space="preserve">that has been linked to 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7" w:name="_2et92p0" w:colFirst="0" w:colLast="0"/>
      <w:bookmarkEnd w:id="7"/>
      <w:r w:rsidRPr="00755962">
        <w:lastRenderedPageBreak/>
        <w:t>Open Issues and Questions</w:t>
      </w:r>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8" w:name="_tyjcwt" w:colFirst="0" w:colLast="0"/>
      <w:bookmarkEnd w:id="8"/>
      <w:r w:rsidRPr="00755962">
        <w:t>Closed Issues</w:t>
      </w:r>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9" w:name="_3dy6vkm" w:colFirst="0" w:colLast="0"/>
      <w:bookmarkEnd w:id="9"/>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 w:name="_1t3h5sf" w:colFirst="0" w:colLast="0"/>
      <w:bookmarkEnd w:id="10"/>
    </w:p>
    <w:p w14:paraId="74EB1268" w14:textId="77777777" w:rsidR="002676E4" w:rsidRPr="00755962" w:rsidRDefault="00A350F3">
      <w:pPr>
        <w:pStyle w:val="Heading1"/>
      </w:pPr>
      <w:bookmarkStart w:id="11" w:name="_4d34og8" w:colFirst="0" w:colLast="0"/>
      <w:bookmarkEnd w:id="11"/>
      <w:r w:rsidRPr="00755962">
        <w:t xml:space="preserve">Appendix A </w:t>
      </w:r>
      <w:bookmarkStart w:id="12" w:name="2s8eyo1" w:colFirst="0" w:colLast="0"/>
      <w:bookmarkStart w:id="13" w:name="17dp8vu" w:colFirst="0" w:colLast="0"/>
      <w:bookmarkEnd w:id="12"/>
      <w:bookmarkEnd w:id="13"/>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4" w:name="_35nkun2" w:colFirst="0" w:colLast="0"/>
      <w:bookmarkEnd w:id="14"/>
    </w:p>
    <w:p w14:paraId="7B59E236" w14:textId="77777777" w:rsidR="002676E4" w:rsidRPr="00755962" w:rsidRDefault="00A350F3">
      <w:pPr>
        <w:pStyle w:val="Heading1"/>
      </w:pPr>
      <w:bookmarkStart w:id="15" w:name="_1ksv4uv" w:colFirst="0" w:colLast="0"/>
      <w:bookmarkEnd w:id="15"/>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2jxsxqh" w:colFirst="0" w:colLast="0"/>
      <w:bookmarkEnd w:id="17"/>
      <w:r w:rsidRPr="00755962">
        <w:lastRenderedPageBreak/>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8" w:name="_1y810tw" w:colFirst="0" w:colLast="0"/>
      <w:bookmarkEnd w:id="18"/>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9" w:name="_4i7ojhp" w:colFirst="0" w:colLast="0"/>
      <w:bookmarkEnd w:id="19"/>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0" w:name="_2xcytpi" w:colFirst="0" w:colLast="0"/>
      <w:bookmarkStart w:id="21" w:name="_qsh70q" w:colFirst="0" w:colLast="0"/>
      <w:bookmarkStart w:id="22" w:name="_3as4poj" w:colFirst="0" w:colLast="0"/>
      <w:bookmarkEnd w:id="20"/>
      <w:bookmarkEnd w:id="21"/>
      <w:bookmarkEnd w:id="2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3" w:name="_1pxezwc" w:colFirst="0" w:colLast="0"/>
      <w:bookmarkEnd w:id="23"/>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Where “identity” information including all information found in the FHIR Patient resource such as identifier, name, phone, gender, birth date, address, marital status, photo, others to contact, preference for language, general practitioner, and links to other instances of identi</w:t>
      </w:r>
      <w:bookmarkStart w:id="24" w:name="_GoBack"/>
      <w:bookmarkEnd w:id="24"/>
      <w:r w:rsidR="00692823">
        <w:t>ties.</w:t>
      </w:r>
      <w:r w:rsidR="00692823">
        <w:t xml:space="preserve"> </w:t>
      </w:r>
    </w:p>
    <w:p w14:paraId="7EAA2352" w14:textId="3272D2B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 Such that any query against any of the patient identifiers that has been linked to return results for all the linked records</w:t>
      </w:r>
      <w:r w:rsidR="00A350F3" w:rsidRPr="00755962">
        <w:t>.</w:t>
      </w:r>
    </w:p>
    <w:p w14:paraId="6019FDFE" w14:textId="55EEDB2B" w:rsidR="002676E4" w:rsidRPr="00755962" w:rsidRDefault="00A350F3">
      <w:pPr>
        <w:pStyle w:val="Heading2"/>
      </w:pPr>
      <w:bookmarkStart w:id="25" w:name="_49x2ik5" w:colFirst="0" w:colLast="0"/>
      <w:bookmarkEnd w:id="25"/>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6" w:name="147n2zr" w:colFirst="0" w:colLast="0"/>
      <w:bookmarkStart w:id="27" w:name="2p2csry" w:colFirst="0" w:colLast="0"/>
      <w:bookmarkEnd w:id="26"/>
      <w:bookmarkEnd w:id="27"/>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8" w:name="_3o7alnk" w:colFirst="0" w:colLast="0"/>
            <w:bookmarkEnd w:id="28"/>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9" w:name="_vx1227" w:colFirst="0" w:colLast="0"/>
      <w:bookmarkStart w:id="30" w:name="_4f1mdlm" w:colFirst="0" w:colLast="0"/>
      <w:bookmarkStart w:id="31" w:name="_2u6wntf" w:colFirst="0" w:colLast="0"/>
      <w:bookmarkStart w:id="32" w:name="_e8pvfhrdxgt" w:colFirst="0" w:colLast="0"/>
      <w:bookmarkStart w:id="33" w:name="_Toc345074652"/>
      <w:bookmarkStart w:id="34" w:name="_Toc500238752"/>
      <w:bookmarkEnd w:id="29"/>
      <w:bookmarkEnd w:id="30"/>
      <w:bookmarkEnd w:id="31"/>
      <w:bookmarkEnd w:id="32"/>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35" w:name="_19c6y18" w:colFirst="0" w:colLast="0"/>
      <w:bookmarkEnd w:id="33"/>
      <w:bookmarkEnd w:id="34"/>
      <w:bookmarkEnd w:id="35"/>
      <w:r w:rsidRPr="00755962">
        <w:t xml:space="preserve">X.2 </w:t>
      </w:r>
      <w:r w:rsidR="006A5B3F">
        <w:t>PR</w:t>
      </w:r>
      <w:r w:rsidR="00577AF8">
        <w:t>I</w:t>
      </w:r>
      <w:r w:rsidR="006A5B3F">
        <w:t>M</w:t>
      </w:r>
      <w:r w:rsidR="006A5B3F" w:rsidRPr="00755962">
        <w:t xml:space="preserve"> </w:t>
      </w:r>
      <w:r w:rsidRPr="00755962">
        <w:t>Actor Options</w:t>
      </w:r>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6" w:name="_3tbugp1" w:colFirst="0" w:colLast="0"/>
      <w:bookmarkStart w:id="37" w:name="_28h4qwu" w:colFirst="0" w:colLast="0"/>
      <w:bookmarkEnd w:id="36"/>
      <w:bookmarkEnd w:id="37"/>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8" w:name="_kgcv8k" w:colFirst="0" w:colLast="0"/>
      <w:bookmarkEnd w:id="38"/>
      <w:r w:rsidRPr="00755962">
        <w:t xml:space="preserve">X.4 </w:t>
      </w:r>
      <w:r w:rsidR="006A5B3F">
        <w:t>PR</w:t>
      </w:r>
      <w:r w:rsidR="00161EC2">
        <w:t>I</w:t>
      </w:r>
      <w:r w:rsidR="006A5B3F">
        <w:t>M</w:t>
      </w:r>
      <w:r w:rsidR="006A5B3F" w:rsidRPr="00755962">
        <w:t xml:space="preserve"> </w:t>
      </w:r>
      <w:r w:rsidRPr="00755962">
        <w:t>Overview</w:t>
      </w:r>
    </w:p>
    <w:p w14:paraId="6B1FC898" w14:textId="77777777" w:rsidR="002676E4" w:rsidRPr="00755962" w:rsidRDefault="00A350F3">
      <w:pPr>
        <w:pStyle w:val="Heading3"/>
        <w:keepNext w:val="0"/>
      </w:pPr>
      <w:bookmarkStart w:id="39" w:name="1jlao46" w:colFirst="0" w:colLast="0"/>
      <w:bookmarkStart w:id="40" w:name="_34g0dwd" w:colFirst="0" w:colLast="0"/>
      <w:bookmarkEnd w:id="39"/>
      <w:bookmarkEnd w:id="40"/>
      <w:r w:rsidRPr="00755962">
        <w:t>X.4.1 Concepts</w:t>
      </w:r>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41" w:name="_43ky6rz" w:colFirst="0" w:colLast="0"/>
      <w:bookmarkEnd w:id="41"/>
      <w:r w:rsidRPr="00755962">
        <w:t>X.4.2 Use Cases</w:t>
      </w:r>
    </w:p>
    <w:p w14:paraId="74951EDE" w14:textId="77777777" w:rsidR="002676E4" w:rsidRPr="00755962" w:rsidRDefault="00A350F3">
      <w:pPr>
        <w:pStyle w:val="Heading4"/>
        <w:ind w:left="864" w:hanging="864"/>
      </w:pPr>
      <w:bookmarkStart w:id="42" w:name="_2iq8gzs" w:colFirst="0" w:colLast="0"/>
      <w:bookmarkEnd w:id="42"/>
      <w:r w:rsidRPr="00755962">
        <w:lastRenderedPageBreak/>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3" w:name="_xvir7l" w:colFirst="0" w:colLast="0"/>
      <w:bookmarkEnd w:id="43"/>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4" w:name="_tgm1fptbycmg" w:colFirst="0" w:colLast="0"/>
      <w:bookmarkEnd w:id="44"/>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lastRenderedPageBreak/>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45" w:name="_l27ma4h3ajx9" w:colFirst="0" w:colLast="0"/>
      <w:bookmarkEnd w:id="45"/>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6" w:name="_k7507yr8k8q" w:colFirst="0" w:colLast="0"/>
      <w:bookmarkEnd w:id="46"/>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7" w:name="_12rcx61h4by" w:colFirst="0" w:colLast="0"/>
      <w:bookmarkEnd w:id="47"/>
      <w:r w:rsidRPr="00755962">
        <w:lastRenderedPageBreak/>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8" w:name="_sf46mntmtg8t" w:colFirst="0" w:colLast="0"/>
      <w:bookmarkEnd w:id="48"/>
      <w:r w:rsidRPr="00755962">
        <w:t xml:space="preserve">X.4.2.3 Use Case #3: </w:t>
      </w:r>
      <w:r w:rsidR="00730FEE">
        <w:t>Link</w:t>
      </w:r>
      <w:r w:rsidR="00730FEE" w:rsidRPr="00755962">
        <w:t xml:space="preserve"> </w:t>
      </w:r>
      <w:r w:rsidRPr="00755962">
        <w:t>Patient Records</w:t>
      </w:r>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9" w:name="_fj71c9tf6qvl" w:colFirst="0" w:colLast="0"/>
      <w:bookmarkEnd w:id="49"/>
      <w:r w:rsidRPr="00755962">
        <w:lastRenderedPageBreak/>
        <w:t xml:space="preserve">X.4.2.3.1 </w:t>
      </w:r>
      <w:r w:rsidR="00A81B1F">
        <w:t>Link</w:t>
      </w:r>
      <w:r w:rsidRPr="00755962">
        <w:t xml:space="preserv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50" w:name="_9zp53gfpy00" w:colFirst="0" w:colLast="0"/>
      <w:bookmarkEnd w:id="50"/>
      <w:r w:rsidRPr="00755962">
        <w:t xml:space="preserve">X.4.2.3.2 </w:t>
      </w:r>
      <w:r w:rsidR="008E59C8">
        <w:t>Link</w:t>
      </w:r>
      <w:r w:rsidRPr="00755962">
        <w:t xml:space="preserv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378200"/>
                    </a:xfrm>
                    <a:prstGeom prst="rect">
                      <a:avLst/>
                    </a:prstGeom>
                    <a:ln/>
                  </pic:spPr>
                </pic:pic>
              </a:graphicData>
            </a:graphic>
          </wp:inline>
        </w:drawing>
      </w:r>
    </w:p>
    <w:p w14:paraId="0FAED409" w14:textId="0623D4D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41092666" w14:textId="77777777" w:rsidR="002676E4" w:rsidRPr="00755962" w:rsidRDefault="00A350F3">
      <w:r w:rsidRPr="00755962">
        <w:rPr>
          <w:b/>
        </w:rPr>
        <w:lastRenderedPageBreak/>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1" w:name="_1x0gk37" w:colFirst="0" w:colLast="0"/>
      <w:bookmarkEnd w:id="51"/>
      <w:r w:rsidRPr="00755962">
        <w:t xml:space="preserve">X.5 </w:t>
      </w:r>
      <w:r w:rsidR="006A5B3F">
        <w:t>PR</w:t>
      </w:r>
      <w:r w:rsidR="00161EC2">
        <w:t>I</w:t>
      </w:r>
      <w:r w:rsidR="006A5B3F">
        <w:t>M</w:t>
      </w:r>
      <w:r w:rsidRPr="00755962">
        <w:t xml:space="preserve"> Security Considerations</w:t>
      </w:r>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2" w:name="_4h042r0" w:colFirst="0" w:colLast="0"/>
      <w:bookmarkEnd w:id="52"/>
      <w:r w:rsidRPr="00161EC2">
        <w:t xml:space="preserve">X.6 </w:t>
      </w:r>
      <w:r w:rsidR="006A5B3F" w:rsidRPr="00161EC2">
        <w:t>PR</w:t>
      </w:r>
      <w:r w:rsidR="00161EC2" w:rsidRPr="00161EC2">
        <w:t>I</w:t>
      </w:r>
      <w:r w:rsidR="006A5B3F" w:rsidRPr="00161EC2">
        <w:t xml:space="preserve">M </w:t>
      </w:r>
      <w:r w:rsidRPr="00161EC2">
        <w:t>Cross Profile Considerations</w:t>
      </w:r>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3" w:name="_2w5ecyt" w:colFirst="0" w:colLast="0"/>
      <w:bookmarkEnd w:id="53"/>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4" w:name="_1baon6m" w:colFirst="0" w:colLast="0"/>
      <w:bookmarkStart w:id="55" w:name="_3vac5uf" w:colFirst="0" w:colLast="0"/>
      <w:bookmarkStart w:id="56" w:name="_2afmg28" w:colFirst="0" w:colLast="0"/>
      <w:bookmarkStart w:id="57" w:name="_pkwqa1" w:colFirst="0" w:colLast="0"/>
      <w:bookmarkStart w:id="58" w:name="_39kk8xu" w:colFirst="0" w:colLast="0"/>
      <w:bookmarkStart w:id="59" w:name="_1opuj5n" w:colFirst="0" w:colLast="0"/>
      <w:bookmarkStart w:id="60" w:name="_48pi1tg" w:colFirst="0" w:colLast="0"/>
      <w:bookmarkStart w:id="61" w:name="_2nusc19" w:colFirst="0" w:colLast="0"/>
      <w:bookmarkEnd w:id="54"/>
      <w:bookmarkEnd w:id="55"/>
      <w:bookmarkEnd w:id="56"/>
      <w:bookmarkEnd w:id="57"/>
      <w:bookmarkEnd w:id="58"/>
      <w:bookmarkEnd w:id="59"/>
      <w:bookmarkEnd w:id="60"/>
      <w:bookmarkEnd w:id="61"/>
      <w:r w:rsidRPr="00755962">
        <w:br w:type="page"/>
      </w:r>
    </w:p>
    <w:p w14:paraId="6FFE54B1" w14:textId="480C2E9E" w:rsidR="00BA7084" w:rsidRPr="00D26514" w:rsidRDefault="00BA7084" w:rsidP="00BA7084">
      <w:pPr>
        <w:pStyle w:val="PartTitle"/>
      </w:pPr>
      <w:bookmarkStart w:id="62" w:name="_1yyy98l" w:colFirst="0" w:colLast="0"/>
      <w:bookmarkStart w:id="63" w:name="_Toc500238773"/>
      <w:bookmarkEnd w:id="62"/>
      <w:r w:rsidRPr="00D26514">
        <w:lastRenderedPageBreak/>
        <w:t>Volume 2</w:t>
      </w:r>
      <w:r w:rsidR="00E237C5">
        <w:t>c</w:t>
      </w:r>
      <w:r w:rsidRPr="00D26514">
        <w:t xml:space="preserve"> – Transactions</w:t>
      </w:r>
      <w:bookmarkEnd w:id="63"/>
    </w:p>
    <w:p w14:paraId="0B03FDEB" w14:textId="143A46E3" w:rsidR="00BA7084" w:rsidRPr="00D26514" w:rsidRDefault="00BA7084" w:rsidP="00BA7084">
      <w:pPr>
        <w:pStyle w:val="EditorInstructions"/>
      </w:pPr>
      <w:bookmarkStart w:id="64" w:name="_Toc75083611"/>
      <w:r w:rsidRPr="00D26514">
        <w:t>Add Section 3.Y</w:t>
      </w:r>
      <w:r w:rsidR="00E237C5">
        <w:t>1</w:t>
      </w:r>
      <w:r w:rsidRPr="00D26514">
        <w:t xml:space="preserve"> </w:t>
      </w:r>
      <w:bookmarkEnd w:id="64"/>
    </w:p>
    <w:p w14:paraId="3330DE57" w14:textId="3C3C4736" w:rsidR="00BA7084" w:rsidRPr="00D26514" w:rsidRDefault="00BA7084" w:rsidP="00BA7084">
      <w:pPr>
        <w:pStyle w:val="Heading2"/>
        <w:ind w:left="0" w:firstLine="0"/>
      </w:pPr>
      <w:bookmarkStart w:id="65" w:name="_Toc345074672"/>
      <w:bookmarkStart w:id="66" w:name="_Toc500238774"/>
      <w:r w:rsidRPr="00D26514">
        <w:t>3.Y</w:t>
      </w:r>
      <w:r w:rsidR="001A2D13">
        <w:t>1</w:t>
      </w:r>
      <w:r w:rsidRPr="00D26514">
        <w:t xml:space="preserve"> </w:t>
      </w:r>
      <w:bookmarkEnd w:id="65"/>
      <w:bookmarkEnd w:id="66"/>
      <w:r w:rsidR="00A823A4">
        <w:t>Mobile Patient Identity Feed</w:t>
      </w:r>
      <w:r w:rsidR="00326DA4">
        <w:t xml:space="preserve"> [ITI-Y1]</w:t>
      </w:r>
    </w:p>
    <w:p w14:paraId="2DFAFFF2" w14:textId="0FBF53D9" w:rsidR="00BA7084" w:rsidRPr="00D26514" w:rsidRDefault="00BA7084" w:rsidP="00BA7084">
      <w:pPr>
        <w:pStyle w:val="Heading3"/>
        <w:ind w:left="0" w:firstLine="0"/>
      </w:pPr>
      <w:bookmarkStart w:id="67" w:name="_Toc345074673"/>
      <w:bookmarkStart w:id="68" w:name="_Toc500238775"/>
      <w:r w:rsidRPr="00D26514">
        <w:t>3.Y</w:t>
      </w:r>
      <w:r w:rsidR="001A2D13">
        <w:t>1</w:t>
      </w:r>
      <w:r w:rsidRPr="00D26514">
        <w:t>.1 Scope</w:t>
      </w:r>
      <w:bookmarkEnd w:id="67"/>
      <w:bookmarkEnd w:id="68"/>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9" w:name="_Toc345074674"/>
      <w:bookmarkStart w:id="70" w:name="_Toc500238776"/>
      <w:r w:rsidRPr="00D26514">
        <w:t>3.Y</w:t>
      </w:r>
      <w:r w:rsidR="001A2D13">
        <w:t>1</w:t>
      </w:r>
      <w:r w:rsidRPr="00D26514">
        <w:t>.2 Actor Roles</w:t>
      </w:r>
      <w:bookmarkEnd w:id="69"/>
      <w:bookmarkEnd w:id="70"/>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71" w:name="_Toc345074675"/>
      <w:bookmarkStart w:id="72" w:name="_Toc500238777"/>
      <w:r w:rsidRPr="00D26514">
        <w:t>3.Y</w:t>
      </w:r>
      <w:r w:rsidR="001A2D13">
        <w:t>1</w:t>
      </w:r>
      <w:r w:rsidRPr="00D26514">
        <w:t>.3 Referenced Standards</w:t>
      </w:r>
      <w:bookmarkEnd w:id="71"/>
      <w:bookmarkEnd w:id="72"/>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3" w:name="_Toc345074676"/>
      <w:bookmarkStart w:id="74" w:name="_Toc500238778"/>
      <w:r w:rsidRPr="00D26514">
        <w:lastRenderedPageBreak/>
        <w:t>3.Y</w:t>
      </w:r>
      <w:r w:rsidR="001A2D13">
        <w:t>1</w:t>
      </w:r>
      <w:r w:rsidRPr="00D26514">
        <w:t>.4 Interaction Diagram</w:t>
      </w:r>
      <w:bookmarkEnd w:id="73"/>
      <w:bookmarkEnd w:id="74"/>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48476D" w:rsidRPr="007C1AAC" w:rsidRDefault="0048476D"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48476D" w:rsidRPr="007C1AAC" w:rsidRDefault="0048476D"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8476D" w:rsidRPr="007C1AAC" w:rsidRDefault="0048476D"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8476D" w:rsidRPr="007C1AAC" w:rsidRDefault="0048476D"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8476D" w:rsidRPr="007C1AAC" w:rsidRDefault="0048476D"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8476D" w:rsidRPr="007C1AAC" w:rsidRDefault="0048476D"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8476D" w:rsidRPr="007C1AAC" w:rsidRDefault="0048476D"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8476D" w:rsidRPr="007C1AAC" w:rsidRDefault="0048476D"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5" w:name="_Toc345074677"/>
    </w:p>
    <w:p w14:paraId="2BBCC0C4" w14:textId="18CD3BFB" w:rsidR="00BA7084" w:rsidRPr="00D26514" w:rsidRDefault="00BA7084" w:rsidP="00BA7084">
      <w:pPr>
        <w:pStyle w:val="Heading4"/>
        <w:ind w:left="0" w:firstLine="0"/>
      </w:pPr>
      <w:bookmarkStart w:id="76" w:name="_Toc500238779"/>
      <w:r w:rsidRPr="00D26514">
        <w:t>3.Y</w:t>
      </w:r>
      <w:r w:rsidR="00924270">
        <w:t>1</w:t>
      </w:r>
      <w:r w:rsidRPr="00D26514">
        <w:t xml:space="preserve">.4.1 </w:t>
      </w:r>
      <w:bookmarkEnd w:id="75"/>
      <w:bookmarkEnd w:id="76"/>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7" w:name="_Toc345074678"/>
      <w:bookmarkStart w:id="78" w:name="_Toc500238780"/>
      <w:r w:rsidRPr="00D26514">
        <w:t>3.Y</w:t>
      </w:r>
      <w:r w:rsidR="00924270">
        <w:t>1</w:t>
      </w:r>
      <w:r w:rsidRPr="00D26514">
        <w:t>.4.1.1 Trigger Events</w:t>
      </w:r>
      <w:bookmarkEnd w:id="77"/>
      <w:bookmarkEnd w:id="78"/>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79" w:name="_Toc345074679"/>
      <w:bookmarkStart w:id="80" w:name="_Toc500238781"/>
      <w:r w:rsidRPr="00D26514">
        <w:t>3.Y</w:t>
      </w:r>
      <w:r w:rsidR="00924270">
        <w:t>1</w:t>
      </w:r>
      <w:r w:rsidRPr="00D26514">
        <w:t>.4.1.2 Message Semantics</w:t>
      </w:r>
      <w:bookmarkEnd w:id="79"/>
      <w:bookmarkEnd w:id="80"/>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1" w:name="_Toc345074680"/>
      <w:bookmarkStart w:id="82" w:name="_Toc500238782"/>
      <w:r w:rsidRPr="00D26514">
        <w:t>3.Y</w:t>
      </w:r>
      <w:r w:rsidR="00924270">
        <w:t>1</w:t>
      </w:r>
      <w:r w:rsidRPr="00D26514">
        <w:t>.4.1.3 Expected Actions</w:t>
      </w:r>
      <w:bookmarkEnd w:id="81"/>
      <w:bookmarkEnd w:id="82"/>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83" w:name="_Toc345074681"/>
      <w:bookmarkStart w:id="84" w:name="_Toc500238783"/>
      <w:r w:rsidRPr="00D26514">
        <w:t>3.Y</w:t>
      </w:r>
      <w:r w:rsidR="00924270">
        <w:t>1</w:t>
      </w:r>
      <w:r w:rsidRPr="00D26514">
        <w:t xml:space="preserve">.4.2 </w:t>
      </w:r>
      <w:bookmarkEnd w:id="83"/>
      <w:bookmarkEnd w:id="84"/>
      <w:r w:rsidR="001F648A">
        <w:t>Mobile Patient Identity Feed Response</w:t>
      </w:r>
    </w:p>
    <w:p w14:paraId="6A5BA246" w14:textId="1AFC678E" w:rsidR="00BA7084" w:rsidRPr="00D26514" w:rsidRDefault="00BA7084" w:rsidP="00BA7084">
      <w:pPr>
        <w:pStyle w:val="Heading5"/>
        <w:ind w:left="0" w:firstLine="0"/>
      </w:pPr>
      <w:bookmarkStart w:id="85" w:name="_Toc345074682"/>
      <w:bookmarkStart w:id="86" w:name="_Toc500238784"/>
      <w:r w:rsidRPr="00D26514">
        <w:t>3.Y</w:t>
      </w:r>
      <w:r w:rsidR="00924270">
        <w:t>1</w:t>
      </w:r>
      <w:r w:rsidRPr="00D26514">
        <w:t>.4.2.1 Trigger Events</w:t>
      </w:r>
      <w:bookmarkEnd w:id="85"/>
      <w:bookmarkEnd w:id="86"/>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87" w:name="_Toc345074683"/>
      <w:bookmarkStart w:id="88" w:name="_Toc500238785"/>
      <w:r w:rsidRPr="00D26514">
        <w:t>3.Y</w:t>
      </w:r>
      <w:r w:rsidR="00924270">
        <w:t>1</w:t>
      </w:r>
      <w:r w:rsidRPr="00D26514">
        <w:t>.4.2.2 Message Semantics</w:t>
      </w:r>
      <w:bookmarkEnd w:id="87"/>
      <w:bookmarkEnd w:id="88"/>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89" w:name="_Toc345074684"/>
      <w:bookmarkStart w:id="90" w:name="_Toc500238786"/>
      <w:r w:rsidRPr="00D26514">
        <w:lastRenderedPageBreak/>
        <w:t>3.Y</w:t>
      </w:r>
      <w:r w:rsidR="00924270">
        <w:t>1</w:t>
      </w:r>
      <w:r w:rsidRPr="00D26514">
        <w:t>.4.2.3 Expected Actions</w:t>
      </w:r>
      <w:bookmarkEnd w:id="89"/>
      <w:bookmarkEnd w:id="90"/>
    </w:p>
    <w:p w14:paraId="340BE770" w14:textId="77777777" w:rsidR="006B38FE" w:rsidRPr="006B38FE" w:rsidRDefault="006B38FE" w:rsidP="00BA7084">
      <w:pPr>
        <w:pStyle w:val="AuthorInstructions"/>
        <w:rPr>
          <w:i w:val="0"/>
        </w:rPr>
      </w:pPr>
      <w:bookmarkStart w:id="91" w:name="OLE_LINK5"/>
      <w:bookmarkStart w:id="9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93" w:name="_Toc500238788"/>
      <w:bookmarkEnd w:id="91"/>
      <w:bookmarkEnd w:id="92"/>
      <w:r w:rsidRPr="00D26514">
        <w:t>3.Y</w:t>
      </w:r>
      <w:r w:rsidR="00924270">
        <w:t>1</w:t>
      </w:r>
      <w:r w:rsidRPr="00D26514">
        <w:t>.</w:t>
      </w:r>
      <w:r w:rsidR="006B38FE">
        <w:t>5</w:t>
      </w:r>
      <w:r w:rsidRPr="00D26514">
        <w:t xml:space="preserve"> Security Considerations</w:t>
      </w:r>
      <w:bookmarkEnd w:id="93"/>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pPr>
      <w:r w:rsidRPr="00050FC7">
        <w:t>See ITI TF-2x: Appendix Z.8 for common mobile security considerations.</w:t>
      </w:r>
    </w:p>
    <w:p w14:paraId="60EF0691" w14:textId="77777777" w:rsidR="00B96685" w:rsidRPr="00977EA3" w:rsidRDefault="00B96685" w:rsidP="00B96685">
      <w:pPr>
        <w:pStyle w:val="Heading4"/>
        <w:ind w:left="0" w:firstLine="0"/>
      </w:pPr>
      <w:r w:rsidRPr="00977EA3">
        <w:t>3.</w:t>
      </w:r>
      <w:r>
        <w:t>Y2</w:t>
      </w:r>
      <w:r w:rsidRPr="00977EA3">
        <w:t>.5.1 Security Audit Considerations</w:t>
      </w:r>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r w:rsidRPr="00977EA3">
        <w:t>3.</w:t>
      </w:r>
      <w:r>
        <w:t>Y2</w:t>
      </w:r>
      <w:r w:rsidRPr="00977EA3">
        <w:t xml:space="preserve">.5.1.1 </w:t>
      </w:r>
      <w:r w:rsidR="00564E84">
        <w:t xml:space="preserve">Supplier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lastRenderedPageBreak/>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r w:rsidRPr="00977EA3">
        <w:t>3.</w:t>
      </w:r>
      <w:r>
        <w:t>Y2</w:t>
      </w:r>
      <w:r w:rsidRPr="00977EA3">
        <w:t xml:space="preserve">.5.1.2 </w:t>
      </w:r>
      <w:r>
        <w:t>Patient Identity Manager</w:t>
      </w:r>
      <w:r w:rsidRPr="00977EA3">
        <w:t xml:space="preserve"> 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r w:rsidR="00326DA4">
        <w:t xml:space="preserve"> [ITI-Y2]</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48476D" w:rsidRPr="007C1AAC" w:rsidRDefault="0048476D"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48476D" w:rsidRPr="007C1AAC" w:rsidRDefault="0048476D"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8476D" w:rsidRPr="007C1AAC" w:rsidRDefault="0048476D"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8476D" w:rsidRPr="007C1AAC" w:rsidRDefault="0048476D"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48476D" w:rsidRDefault="0048476D"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48476D" w:rsidRDefault="0048476D"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48476D" w:rsidRDefault="0048476D"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48476D" w:rsidRDefault="0048476D"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48476D" w:rsidRDefault="0048476D"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48476D" w:rsidRDefault="0048476D"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8476D" w:rsidRPr="007C1AAC" w:rsidRDefault="0048476D"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8476D" w:rsidRPr="007C1AAC" w:rsidRDefault="0048476D"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8476D" w:rsidRPr="007C1AAC" w:rsidRDefault="0048476D"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8476D" w:rsidRPr="007C1AAC" w:rsidRDefault="0048476D"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8476D" w:rsidRDefault="0048476D"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8476D" w:rsidRDefault="0048476D"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8476D" w:rsidRDefault="0048476D"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8476D" w:rsidRDefault="0048476D"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8476D" w:rsidRDefault="0048476D"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8476D" w:rsidRDefault="0048476D"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lastRenderedPageBreak/>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94" w:name="_Hlk5877358"/>
      <w:r w:rsidRPr="00D26514">
        <w:t>3.Y</w:t>
      </w:r>
      <w:r>
        <w:t>2</w:t>
      </w:r>
      <w:r w:rsidRPr="00D26514">
        <w:t>.4.1.</w:t>
      </w:r>
      <w:r>
        <w:t>2.1</w:t>
      </w:r>
      <w:r w:rsidRPr="00D26514">
        <w:t xml:space="preserve"> </w:t>
      </w:r>
      <w:bookmarkEnd w:id="94"/>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95" w:name="OLE_LINK1"/>
      <w:bookmarkStart w:id="96" w:name="OLE_LINK2"/>
      <w:r w:rsidRPr="00050FC7">
        <w:t>3.</w:t>
      </w:r>
      <w:r>
        <w:t>Y2</w:t>
      </w:r>
      <w:r w:rsidRPr="00050FC7">
        <w:t>.4.</w:t>
      </w:r>
      <w:r>
        <w:t>1</w:t>
      </w:r>
      <w:r w:rsidRPr="00050FC7">
        <w:t>.2.1-1</w:t>
      </w:r>
      <w:bookmarkEnd w:id="95"/>
      <w:bookmarkEnd w:id="96"/>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lastRenderedPageBreak/>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Security Considerations</w:t>
      </w:r>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97" w:name="_Toc398544397"/>
      <w:r w:rsidRPr="00977EA3">
        <w:t>3.</w:t>
      </w:r>
      <w:r>
        <w:t>Y2</w:t>
      </w:r>
      <w:r w:rsidRPr="00977EA3">
        <w:t>.5.1 Security Audit Considerations</w:t>
      </w:r>
      <w:bookmarkEnd w:id="97"/>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r w:rsidRPr="00977EA3">
        <w:lastRenderedPageBreak/>
        <w:t>3.</w:t>
      </w:r>
      <w:r>
        <w:t>Y2</w:t>
      </w:r>
      <w:r w:rsidRPr="00977EA3">
        <w:t xml:space="preserve">.5.1.1 </w:t>
      </w:r>
      <w:r w:rsidR="00134058">
        <w:t xml:space="preserve">Patient Subscriber </w:t>
      </w:r>
      <w:r w:rsidRPr="00977EA3">
        <w:t>audit message:</w:t>
      </w: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r w:rsidRPr="00977EA3">
        <w:t>3.</w:t>
      </w:r>
      <w:r>
        <w:t>Y2</w:t>
      </w:r>
      <w:r w:rsidRPr="00977EA3">
        <w:t xml:space="preserve">.5.1.2 </w:t>
      </w:r>
      <w:r w:rsidR="00B96685">
        <w:t>Patient Identity Manager</w:t>
      </w:r>
      <w:r w:rsidRPr="00977EA3">
        <w:t xml:space="preserve"> audit message: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98" w:name="_Toc2769954"/>
      <w:r w:rsidRPr="008407CB">
        <w:t>3.78.2 Actor Roles</w:t>
      </w:r>
      <w:bookmarkEnd w:id="98"/>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8476D" w:rsidRDefault="0048476D"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8476D" w:rsidRDefault="0048476D"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8476D" w:rsidRDefault="0048476D"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8476D" w:rsidRDefault="0048476D"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8476D" w:rsidRDefault="0048476D"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8476D" w:rsidRDefault="0048476D"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8476D" w:rsidRDefault="0048476D"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8476D" w:rsidRDefault="0048476D"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1715083D" w:rsidR="008E59C8" w:rsidRDefault="008E59C8" w:rsidP="008E59C8">
      <w:pPr>
        <w:pStyle w:val="EditorInstructions"/>
      </w:pPr>
      <w:bookmarkStart w:id="99" w:name="_Toc396826786"/>
      <w:bookmarkStart w:id="100" w:name="_Toc520113397"/>
      <w:r>
        <w:t>Replace</w:t>
      </w:r>
      <w:r w:rsidRPr="008407CB">
        <w:t xml:space="preserve"> Section 3</w:t>
      </w:r>
      <w:r>
        <w:t>.83.2</w:t>
      </w:r>
      <w:r w:rsidRPr="008407CB">
        <w:t xml:space="preserve"> </w:t>
      </w:r>
    </w:p>
    <w:p w14:paraId="0B367F6D" w14:textId="1CE9D644" w:rsidR="008E59C8" w:rsidRPr="002B3A8C" w:rsidRDefault="008E59C8" w:rsidP="008E59C8">
      <w:pPr>
        <w:pStyle w:val="Heading3"/>
      </w:pPr>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8476D" w:rsidRDefault="0048476D"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8476D" w:rsidRDefault="0048476D" w:rsidP="008E59C8">
                      <w:pPr>
                        <w:rPr>
                          <w:sz w:val="18"/>
                        </w:rPr>
                      </w:pPr>
                      <w:r>
                        <w:rPr>
                          <w:sz w:val="18"/>
                        </w:rPr>
                        <w:t>Patient Identity Manager</w:t>
                      </w:r>
                    </w:p>
                  </w:txbxContent>
                </v:textbox>
              </v:shape>
            </w:pict>
          </mc:Fallback>
        </mc:AlternateContent>
      </w:r>
      <w:r w:rsidRPr="002B3A8C">
        <w:t>3.83.2 Actor Roles</w:t>
      </w:r>
      <w:bookmarkEnd w:id="99"/>
      <w:bookmarkEnd w:id="100"/>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8476D" w:rsidRDefault="0048476D"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8476D" w:rsidRDefault="0048476D"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lastRenderedPageBreak/>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B15DE" w14:textId="77777777" w:rsidR="00B400DA" w:rsidRDefault="00B400DA">
      <w:pPr>
        <w:spacing w:before="0"/>
      </w:pPr>
      <w:r>
        <w:separator/>
      </w:r>
    </w:p>
  </w:endnote>
  <w:endnote w:type="continuationSeparator" w:id="0">
    <w:p w14:paraId="4A54E7B1" w14:textId="77777777" w:rsidR="00B400DA" w:rsidRDefault="00B400D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8476D" w:rsidRDefault="0048476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8476D" w:rsidRDefault="0048476D">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8476D" w:rsidRDefault="0048476D">
    <w:pPr>
      <w:pBdr>
        <w:top w:val="nil"/>
        <w:left w:val="nil"/>
        <w:bottom w:val="nil"/>
        <w:right w:val="nil"/>
        <w:between w:val="nil"/>
      </w:pBdr>
      <w:tabs>
        <w:tab w:val="center" w:pos="4320"/>
        <w:tab w:val="right" w:pos="8640"/>
      </w:tabs>
      <w:ind w:right="360"/>
      <w:rPr>
        <w:color w:val="000000"/>
        <w:sz w:val="20"/>
        <w:szCs w:val="20"/>
      </w:rPr>
    </w:pPr>
    <w:bookmarkStart w:id="101" w:name="_1l354xk" w:colFirst="0" w:colLast="0"/>
    <w:bookmarkEnd w:id="101"/>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8476D" w:rsidRDefault="0048476D">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4A50D" w14:textId="77777777" w:rsidR="00B400DA" w:rsidRDefault="00B400DA">
      <w:pPr>
        <w:spacing w:before="0"/>
      </w:pPr>
      <w:r>
        <w:separator/>
      </w:r>
    </w:p>
  </w:footnote>
  <w:footnote w:type="continuationSeparator" w:id="0">
    <w:p w14:paraId="6A8BF20A" w14:textId="77777777" w:rsidR="00B400DA" w:rsidRDefault="00B400DA">
      <w:pPr>
        <w:spacing w:before="0"/>
      </w:pPr>
      <w:r>
        <w:continuationSeparator/>
      </w:r>
    </w:p>
  </w:footnote>
  <w:footnote w:id="1">
    <w:p w14:paraId="35168AA0" w14:textId="77777777" w:rsidR="0048476D" w:rsidRDefault="0048476D"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8476D" w:rsidRDefault="0048476D"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48476D" w:rsidRDefault="0048476D">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48476D" w:rsidRDefault="0048476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77612"/>
    <w:rsid w:val="0038736A"/>
    <w:rsid w:val="003C4BAF"/>
    <w:rsid w:val="00400254"/>
    <w:rsid w:val="00421EA9"/>
    <w:rsid w:val="004324A2"/>
    <w:rsid w:val="00460D08"/>
    <w:rsid w:val="0048476D"/>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50557"/>
    <w:rsid w:val="00692823"/>
    <w:rsid w:val="00696CC1"/>
    <w:rsid w:val="006A35CF"/>
    <w:rsid w:val="006A5B3F"/>
    <w:rsid w:val="006B38FE"/>
    <w:rsid w:val="006F0A87"/>
    <w:rsid w:val="00701FB1"/>
    <w:rsid w:val="00704A00"/>
    <w:rsid w:val="00707939"/>
    <w:rsid w:val="00714C01"/>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400DA"/>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uiPriority w:val="99"/>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67D4A-7C08-40CB-B22A-585BE96B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41</Pages>
  <Words>8501</Words>
  <Characters>48460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John Moehrke</cp:lastModifiedBy>
  <cp:revision>15</cp:revision>
  <dcterms:created xsi:type="dcterms:W3CDTF">2019-05-01T21:49:00Z</dcterms:created>
  <dcterms:modified xsi:type="dcterms:W3CDTF">2019-05-02T19:44:00Z</dcterms:modified>
</cp:coreProperties>
</file>