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 Rounded MT Bold" w:hAnsi="Arial Rounded MT Bold"/>
          <w:b/>
          <w:color w:val="E8590C"/>
          <w:sz w:val="19"/>
        </w:rPr>
        <w:t>PHARMAESSENTIA CORP. (6446.TW) ｜ GLOBAL CYBER RESILIENCE PROGRAM</w:t>
      </w:r>
    </w:p>
    <w:p>
      <w:pPr>
        <w:spacing w:after="80" w:line="276" w:lineRule="auto"/>
      </w:pPr>
      <w:r>
        <w:rPr>
          <w:rFonts w:ascii="Arial Rounded MT Bold" w:hAnsi="Arial Rounded MT Bold"/>
          <w:b/>
          <w:color w:val="E8590C"/>
          <w:sz w:val="38"/>
        </w:rPr>
        <w:t>藥華醫藥集團 全球資安韌性治理與戰時應變</w:t>
        <w:br/>
        <w:t>12 個月全域落地專案工作分解結構 (Master WBS)</w:t>
      </w:r>
    </w:p>
    <w:p>
      <w:pPr>
        <w:spacing w:after="200"/>
      </w:pPr>
      <w:r>
        <w:rPr>
          <w:rFonts w:ascii="Arial" w:hAnsi="Arial"/>
          <w:i/>
          <w:color w:val="D97706"/>
          <w:sz w:val="21"/>
        </w:rPr>
        <w:t>國際資安專家全域檢視重排本 ｜ 結合 2026/08 網攻事件處置、三層應變模型、6大職能與量化 KPI 治理矩陣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893"/>
            <w:shd w:fill="FFF4E6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9"/>
              </w:rPr>
              <w:t>✦ 報告人：</w:t>
            </w:r>
            <w:r>
              <w:rPr>
                <w:rFonts w:ascii="Arial Rounded MT Bold" w:hAnsi="Arial Rounded MT Bold"/>
                <w:b/>
                <w:color w:val="232629"/>
                <w:sz w:val="19"/>
              </w:rPr>
              <w:t>Howard Liao Ph.D. (廖倫豪 博士) ｜ Group CISO 候選人</w:t>
              <w:br/>
            </w:r>
            <w:r>
              <w:rPr>
                <w:rFonts w:ascii="Arial Rounded MT Bold" w:hAnsi="Arial Rounded MT Bold"/>
                <w:b/>
                <w:color w:val="E8590C"/>
                <w:sz w:val="19"/>
              </w:rPr>
              <w:t>✦ 呈報對象：</w:t>
            </w:r>
            <w:r>
              <w:rPr>
                <w:rFonts w:ascii="Arial" w:hAnsi="Arial"/>
                <w:b w:val="0"/>
                <w:color w:val="232629"/>
                <w:sz w:val="19"/>
              </w:rPr>
              <w:t>藥華醫藥 董事會 ｜ 審計委員會 ｜ 總經理 ｜ 人資長 ｜ 法務主管</w:t>
              <w:br/>
            </w:r>
            <w:r>
              <w:rPr>
                <w:rFonts w:ascii="Arial Rounded MT Bold" w:hAnsi="Arial Rounded MT Bold"/>
                <w:b/>
                <w:color w:val="E8590C"/>
                <w:sz w:val="19"/>
              </w:rPr>
              <w:t>✦ 密級編號：</w:t>
            </w:r>
            <w:r>
              <w:rPr>
                <w:rFonts w:ascii="Arial" w:hAnsi="Arial"/>
                <w:b w:val="0"/>
                <w:color w:val="232629"/>
                <w:sz w:val="19"/>
              </w:rPr>
              <w:t>極機密 (TLP:AMBER) ｜ 文件編號：PE-6446-MASTER-WBS-2026</w:t>
              <w:br/>
            </w:r>
            <w:r>
              <w:rPr>
                <w:rFonts w:ascii="Arial Rounded MT Bold" w:hAnsi="Arial Rounded MT Bold"/>
                <w:b/>
                <w:color w:val="E8590C"/>
                <w:sz w:val="19"/>
              </w:rPr>
              <w:t>✦ 引用依據：</w:t>
            </w:r>
            <w:r>
              <w:rPr>
                <w:rFonts w:ascii="Arial" w:hAnsi="Arial"/>
                <w:b w:val="0"/>
                <w:color w:val="232629"/>
                <w:sz w:val="19"/>
              </w:rPr>
              <w:t>2026/08 網攻事件處理 [ithome.com/news/177838] ｜ NIST CSF 2.0 ｜ FDA 21 CFR 11 ｜ ISO 27001 ｜ ISO 42001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 Rounded MT Bold" w:hAnsi="Arial Rounded MT Bold"/>
          <w:b/>
          <w:color w:val="E8590C"/>
          <w:sz w:val="26"/>
        </w:rPr>
        <w:t>一、 國際資安治理視野：生醫專屬 Cyber Resilience 哲學與附件架構總檢</w:t>
      </w:r>
    </w:p>
    <w:p>
      <w:pPr>
        <w:spacing w:line="288" w:lineRule="auto" w:after="120"/>
      </w:pPr>
      <w:r>
        <w:rPr>
          <w:rFonts w:ascii="Arial" w:hAnsi="Arial"/>
          <w:color w:val="232629"/>
          <w:sz w:val="19"/>
        </w:rPr>
        <w:t>我是廖倫豪博士。身為國際資安從業者，我針對藥華醫藥（6446.TW）全域資安架構進行深度重組與重新編號。生醫製藥集團的資安核心決不是生搬硬套群創等製造業的純工廠 OT Security，而是必須構建專屬生醫情境的「Cyber Resilience Governance Model」——以『董事會監督、CEO／總經理承擔、集團 CISO 統籌、IT 與品質單位共同落地』為基石，全力守護藥華藥最核心的研發專利（Besremi® CMC）、跨國臨床與受試者資料、GxP 電腦化系統（LIMS/QMS/ERP）以及全球供應鏈。2026 年 8 月公司及泛泰醫療網攻事件證明：單憑 ISO 27001 證書無法抵禦進階攻擊，必須將認證合規全面升級為『可偵測、可鑑識、可復原、可向董事會負責』的常態化自適應免疫體系。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93"/>
      </w:tblGrid>
      <w:tr>
        <w:tc>
          <w:tcPr>
            <w:tcW w:type="dxa" w:w="9893"/>
            <w:shd w:fill="FFF9D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9"/>
              </w:rPr>
              <w:t>✦ 附件架構核心要素與本 WBS 映射對照 (Master Alignment Map)：</w:t>
              <w:br/>
            </w:r>
            <w:r>
              <w:rPr>
                <w:rFonts w:ascii="Arial" w:hAnsi="Arial"/>
                <w:color w:val="232629"/>
                <w:sz w:val="18"/>
              </w:rPr>
              <w:t>1. 組織架構與治理原則：7 大核心角色清晰權責防線 ➔ 映射至 WBS 2.1、2.2</w:t>
              <w:br/>
              <w:t>2. CISO 目標 Operating Model：9–14 人核心團隊 ＋ MSSP/MDR 協同 ➔ 映射至 WBS 2.1、3.1</w:t>
              <w:br/>
              <w:t>3. 生醫製藥六大職能：GRC、IR鑑識、IAM、SecOps、GxP/CSV、TPRM ➔ 映射至 WBS 全階段</w:t>
              <w:br/>
              <w:t>4. 三層事件應變升級模型：Level 1 (一般)、Level 2 (重大)、Level 3 (危機) ➔ 映射至 WBS 1.1、1.6、2.4</w:t>
              <w:br/>
              <w:t>5. 董事會量化考核指標：6 大類資產、身分、偵測、韌性、GxP、治理 KPI ➔ 映射至 WBS 2.6、4.6</w:t>
              <w:br/>
              <w:t>6. 12 個月四階段路線：0–30天、31–90天、3–6個月、6–12個月 ➔ 全面轉化為二級與三級工程工作包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 Rounded MT Bold" w:hAnsi="Arial Rounded MT Bold"/>
          <w:b/>
          <w:color w:val="E8590C"/>
          <w:sz w:val="26"/>
        </w:rPr>
        <w:t>二、 全域工作分解結構主表 (Detailed Master WBS Table)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7"/>
        <w:gridCol w:w="1237"/>
        <w:gridCol w:w="1237"/>
        <w:gridCol w:w="1237"/>
        <w:gridCol w:w="1237"/>
        <w:gridCol w:w="1237"/>
        <w:gridCol w:w="1237"/>
        <w:gridCol w:w="1237"/>
      </w:tblGrid>
      <w:tr>
        <w:tc>
          <w:tcPr>
            <w:tcW w:type="dxa" w:w="864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WBS</w:t>
              <w:br/>
              <w:t>編號</w:t>
            </w:r>
          </w:p>
        </w:tc>
        <w:tc>
          <w:tcPr>
            <w:tcW w:type="dxa" w:w="1728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工作項目名稱</w:t>
              <w:br/>
              <w:t>(Work Item Title)</w:t>
            </w:r>
          </w:p>
        </w:tc>
        <w:tc>
          <w:tcPr>
            <w:tcW w:type="dxa" w:w="2880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詳細技術措施與工作內容</w:t>
              <w:br/>
              <w:t>(Detailed Technical Activities)</w:t>
            </w:r>
          </w:p>
        </w:tc>
        <w:tc>
          <w:tcPr>
            <w:tcW w:type="dxa" w:w="1728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核心交付產出</w:t>
              <w:br/>
              <w:t>(Deliverables)</w:t>
            </w:r>
          </w:p>
        </w:tc>
        <w:tc>
          <w:tcPr>
            <w:tcW w:type="dxa" w:w="1152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主責角色</w:t>
              <w:br/>
              <w:t>(RACI)</w:t>
            </w:r>
          </w:p>
        </w:tc>
        <w:tc>
          <w:tcPr>
            <w:tcW w:type="dxa" w:w="864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時程</w:t>
              <w:br/>
              <w:t>SLA</w:t>
            </w:r>
          </w:p>
        </w:tc>
        <w:tc>
          <w:tcPr>
            <w:tcW w:type="dxa" w:w="1584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驗收準則與品質門檻</w:t>
              <w:br/>
              <w:t>(Acceptance &amp; Gates)</w:t>
            </w:r>
          </w:p>
        </w:tc>
        <w:tc>
          <w:tcPr>
            <w:tcW w:type="dxa" w:w="1152"/>
            <w:shd w:fill="FFE8D6"/>
            <w:tcMar>
              <w:top w:w="100" w:type="dxa"/>
              <w:bottom w:w="10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6"/>
              </w:rPr>
              <w:t>附件參考</w:t>
              <w:br/>
              <w:t>(Reference)</w:t>
            </w:r>
          </w:p>
        </w:tc>
      </w:tr>
      <w:tr>
        <w:tc>
          <w:tcPr>
            <w:tcW w:type="dxa" w:w="1152"/>
            <w:gridSpan w:val="8"/>
            <w:shd w:fill="FFF4E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9"/>
              </w:rPr>
              <w:t>【WBS 1.0】 階段一：事件止血、司法鑑識與核心資產清查 (0–30 天 ｜ Assess &amp; Immediate Containment)</w:t>
              <w:br/>
              <w:t xml:space="preserve">  ➔ 管理重點：聚焦 2026/08 事件事實、保全司法證據、清查 Crown Jewels、收斂外部曝險、防堵帳號與備份風險。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1.1：外部專業鑑識進駐與法律保密特權保全 (DFIR &amp; Legal Privilege)  [對齊附件：事件應變與鑑識]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1.1.1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確立 Attorney-Client Privilege 委任程序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由外部法律顧問正式委任第三方專業鑑識機構，確保護送所有鑑識調查成果受律師保密特權保護，免於監管與訴訟對手直接調閱。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《DFIR 法律委任書》</w:t>
              <w:br/>
              <w:t>《保密特權範疇定義書》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外部法務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T+4h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具法律防禦性，保障上市公司司法訴訟權益。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SOP-LEG-01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1.1.2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易失性記憶體與端點假影採集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針對泛泰醫療及受影響主機採集 RAM Dump、磁碟映像檔及 KAPE 假影包，避免因重新開機造成記憶體惡意載荷遺失。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原始鑑識映像檔案包</w:t>
              <w:br/>
              <w:t>KAPE 假影快照清單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DFIR 專家 / 鑑識工程師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T+18h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映像採集過程系統狀態無二次破壞，完整率 100%。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SOP-DFIR-02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1.1.3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建立司法級 SHA-256 監管鏈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針對採集之所有數位證據計算 SHA-256 雜湊值，建立監管清冊（Chain of Custody），落實專人簽收移交。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《數位證據監管鏈清冊 (CoC)》</w:t>
              <w:br/>
              <w:t>雜湊驗證稽核檔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DFIR Lead / 法務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T+18h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符合刑事鑑識與法庭舉證之不可竄改性標準。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NIST SP 800-86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1.2：攻擊鏈逆向剖析與王冠資產比對 (Threat Reverse Engineering &amp; Impact)  [對齊附件：六大職能-事件應變]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1.2.1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MITRE ATT&amp;CK 攻擊鏈與 IOC 提取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逆向剖析 TheGentlemen 組織利用邊界漏洞突破、橫向移動、 Mimikatz 抓密碼及 C2 通訊之 IOC 特徵碼。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《MITRE ATT&amp;CK 攻擊路徑圖》</w:t>
              <w:br/>
              <w:t>《專案 IOC 威脅特徵庫》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資深鑑識專家 / SecOps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T+36h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精準識別 Initial Access 至 Exfiltration 全路徑。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MITRE TTPs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1.2.2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暗網洩密情報與真實資料交叉比對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比對暗網 DLS 釋出之 finance_2024.xlsx、合約及護照縮圖，客觀判定其僅屬子公司行政公務通訊錄，非核心研發機密。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《暗網資料外洩比對分析報告》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威脅情報專家 / 法務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T+48h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精準確認洩密範圍，杜絕外界不實謠言擴散。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暗網情資比對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1.2.3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Besremi® CMC 專利加密與生產 OT 驗證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核實 Besremi 蛋白質新藥 CMC 核心專利參數之 CMK 結構化加密狀態，驗證台中製造廠 GMP 產線 Purdue Model 實體隔離。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《核心研發 CMC 專利完整性核實書》</w:t>
              <w:br/>
              <w:t>《台中廠 OT 隔離檢核表》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QA Lead / 廠長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T+48h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確認核心研發專利 CMC 零外洩，生產 100% 正常。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Crown Jewels 查核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1.3：外部攻擊面收斂與仿冒網域緊急阻斷 (EASM &amp; Takedown)  [對齊附件：六大職能-偵測防護]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1.3.1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全集團外部攻擊面 (EASM) 全景清查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針對藥華藥全球網段、雲端 Tenant、未列管邊界 VPN 及海外暴露點進行自動化連續探測，消除未知資產盲點。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《集團外部攻擊面 (EASM) 熱圖》</w:t>
              <w:br/>
              <w:t>《高風險暴露資產清單》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SecOps / 網路組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T+24h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全域非必要開放之遠端管理埠（RDP/SSH）清零。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EASM 掃描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1.3.2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仿冒網域緊急通報與 Registrar Takedown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鎖定 pharmaessentiacorp.com、pharmaessent1a.com 等釣魚仿冒網域，協同 Registrar、TWNIC 與 TWCERT/CC 執行下架。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《惡意網域 Takedown 處置紀錄》</w:t>
              <w:br/>
              <w:t>《商標與網域申訴書》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法務 / SecOps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T+24h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全球主流 DNS 解析阻斷，嚴防客戶與員工受騙。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Typosquatting 防禦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1.4：身分止血與全域端點防護補齊 (Identity &amp; Endpoint Lockdown)  [對齊附件：六大職能-IAM 與資料保護]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1.4.1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泛泰等 18 台端點盲點強制補齊 EDR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清查子公司及泛泰醫療未納管主機，100% 強制推送部署 EDR Agent 並開啟阻斷模式（Block Mode）。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《全集團端點 EDR 覆蓋率報表》</w:t>
              <w:br/>
              <w:t>《端點補丁防禦基準清單》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IT 維運主管 / SecOps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T+72h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全域端點 EDR 覆蓋率達 99.6% 以上，盲點完全消弭。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EDR 覆蓋率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1.4.2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AD 金鑰 (krbtgt) 兩次輪替與特權回收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執行全域 Active Directory krbtgt 帳號兩次重置，撤銷 Golden Ticket 偽造風險；全面清查並收回幽靈網域管理員特權。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《krbtgt 輪替作業日誌》</w:t>
              <w:br/>
              <w:t>《特權帳號盤點與修訂清單》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基礎架構組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T+72h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徹底瓦解攻擊者在內部身分體系之持久化後門。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AD 止血 SOP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1.5：不可變備份健康審計與乾淨還原 (Immutable Backup &amp; Clean Room)  [對齊附件：韌性 KPI ＆ 六大職能]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1.5.1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AWS S3 Object Lock (WORM) 備份審計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全面審查全集團雲地備份策略，確認 Tier-1 關鍵系統（SAP/LIMS）具備 S3 Object Lock 合規模式或實體離線磁帶保護。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《不可變備份 (WORM) 審計報告》</w:t>
              <w:br/>
              <w:t>《雲地備份隔離驗證單》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IT 維運 / GRC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T+48h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確認關鍵備份檔案未遭勒索軟體加密或刪除。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不可變備份標準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1.5.2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Clean Room 隔離沙箱還原演練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搭建完全實體隔離之 Clean Room 鑑識環境，自乾淨映像實施系統非對稱開機還原，確認無殘留休眠惡意代碼。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《Clean Room 乾淨還原驗證報告》</w:t>
              <w:br/>
              <w:t>《安全放行簽核單》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IT 維運主管 / DFIR Lead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T+72h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系統開機無異常，資料庫雜湊比對一致性 100%。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Clean Room 放行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1.6：法規重大訊息通報與防禦性答辯 (Regulatory Compliance)  [對齊附件：三層應變模型 ＆ 2026/08 事件借鏡]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1.6.1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證券交易所重大訊息精準發布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依證交所重大訊息處理程序，在法定期限內揭露受網攻現況、評估範疇與復原進度，嚴守客觀鑑識事實防線。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《證交所重大訊息申報稿》</w:t>
              <w:br/>
              <w:t>《重訊發布評估底稿》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總經理 / 發言人 / 法務長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法定時效內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資訊揭露精準合規，避免市場恐慌與證券監管處罰。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重訊發布規定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1.6.2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主管機關技術申報與正式結案報告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彙整客觀鑑識數據與 GxP 零受害評估證明，編製符合衛生監管與數發部標準之技術調查答辯書，正式完成專案結案。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《DFIR 專案正式調查報告書》</w:t>
              <w:br/>
              <w:t>《主管機關技術申報答辯書》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法務長 / 鑑識機構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T+7d ~ 14d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獲主管機關書面備查結案，零後續監管開罰。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主管機關答辯</w:t>
            </w:r>
          </w:p>
        </w:tc>
      </w:tr>
      <w:tr>
        <w:tc>
          <w:tcPr>
            <w:tcW w:type="dxa" w:w="1152"/>
            <w:gridSpan w:val="8"/>
            <w:shd w:fill="FFF4E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9"/>
              </w:rPr>
              <w:t>【WBS 2.0】 階段二：組織成型、防禦加固與制度化治理 (31–90 天 ｜ Design &amp; Foundation)</w:t>
              <w:br/>
              <w:t xml:space="preserve">  ➔ 管理重點：制度化資安治理委員會、落地 CISO 9–14 人編制、全域 FIDO2 MFA/PAM、三層應變 Playbook、董事會儀表板。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2.1：CISO 直屬核心團隊建置與人才盤點 (CISO Organization)  [對齊附件：CISO 直屬編制 (9–14人)]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2.1.1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現有資安與 IT 人力盤點及技能矩陣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全面清查集團現有人力專長與職責分工，識別在 GxP CSV、鑑識、雲端身分及法遵方面之關鍵技能差距。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《現有人才盤點與技能矩陣清冊》</w:t>
              <w:br/>
              <w:t>《人力過渡期銜接規劃書》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HR 人資長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31–45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以既有人才為基礎平穩過渡，杜絕初期組織動盪。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實務漸進推動原則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2.1.2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6 大功能單位職責說明書 (JD) 編制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依 CISO Office、GRC、SecOps、SecEng、GxP Liaison、BCP 規劃 9–14 人編制，界定內部自建與外部委外邊界。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《CISO 核心編制職位說明書 (JD)》</w:t>
              <w:br/>
              <w:t>《職能委外管理與 SLA 評估表》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HR 人資長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45–60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明確權責劃分，高階核心能力 100% 握在內部。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6大功能單位編制表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2.1.3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核心職能人員選拔與內部轉任到位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完成關鍵職位主管（SecOps Lead、GxP Security Lead）到任與內部轉任，健全日常實戰運作基礎。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《資安組織成員任命公文》</w:t>
              <w:br/>
              <w:t>《新任人員到任訓練手冊》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總經理 / HR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60–75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核心 6 大功能負責人 100% 就位運轉。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組織目標模型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2.2：跨部門資安治理委員會正式制度化 (Steering Committee)  [對齊附件：跨部門資安委員會]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2.2.1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資安治理委員會組織規程制定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明確規範委員會為「跨部門資源調配與風險取捨」決策機構，由 CEO 擔任 Sponsor、CISO 擔任執行召集人。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《藥華醫藥資安治理委員會章程》</w:t>
              <w:br/>
              <w:t>《重大風險升級與裁決辦法》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總經理 / 法務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45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完成公司最高層簽核，確立跨部門權力法源。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委員會治理章程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2.2.2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10 大部門權責矩陣簽核與聯絡人指派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納入 CIO、QA、RA、法務、研發、製造、HR、內稽 10 大關鍵角色，明定在委員會之實質職責與防線邊界。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《跨部門 10 大職能 RACI 矩陣》</w:t>
              <w:br/>
              <w:t>《資安委員會委員名冊》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各部門最高主管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45–60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各部門指派副總/協理級主管出任委員，落實制衡。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10大關鍵角色矩陣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2.2.3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召開首屆委員會議與風險接受流程確立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定期召開第一次月度會議，審議 2026/08 事件改善進度，並正式制定《重大高風險接受（Risk Acceptance）標準作業流程》。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《首屆資安委員會會議紀錄》</w:t>
              <w:br/>
              <w:t>《高風險例外接受申請與核定表》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CEO / CISO / 全體委員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高風險例外均具明確 Risk Owner、到期日與 CEO 簽核。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治理原則矩陣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2.3：零信任身分安全與特權帳號控管 (Zero Trust IAM &amp; PAM)  [對齊附件：六大職能-IAM 與資料保護]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2.3.1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全域強制抗釣魚 FIDO2 MFA 部署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針對企業雲端（M365）、核心系統（SAP、LIMS）及所有遠端 VPN 連線，全面強制啟用 FIDO2 硬體金鑰或 WebAuthn。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《全域 FIDO2 MFA 部署技術手冊》</w:t>
              <w:br/>
              <w:t>《MFA 覆蓋率 100% 驗證單》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Security Engineering / IT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45–75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關鍵系統與遠端連線抗釣魚 MFA 覆蓋率達 100%。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身分安全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2.3.2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特權帳號管理 (PAM) 金鑰庫上線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建立 PAM 集中保管 Domain Admin、雲端 Root、資料庫 DBA 帳密，落實自動定時輪替、一次性授權與連線即時側錄。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《特權帳號管理 (PAM) 操作規範》</w:t>
              <w:br/>
              <w:t>《特權金鑰安全庫建置證明》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Security Engineering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60–80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特權靜態密碼清零，特權操作審計日誌 100% 保留。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PAM 管理標準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2.3.3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JML 人員異動與權限自動化回收機制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整合 HR 系統建立 Joiner-Mover-Leaver 自動化工作流，離職員工及留職停薪人員帳號 1 小時內自動停權回收。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《JML 身分生命週期作業標準》</w:t>
              <w:br/>
              <w:t>《帳號異動定期覆核紀錄表》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HR / IT 維運 / GRC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75–90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特權帳號季度覆核率 100%，幽靈帳號零容忍。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身分治理標準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2.4：三層事件應變模型與實兵演練 (3-Tier IR &amp; Tabletop)  [對齊附件：三層事件應變模型]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2.4.1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制定 Level 1/2/3 事件分級標準與升級門檻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結合 2026/08 事件借鏡，明定 Level 1（一般-IT處理）、Level 2（重大-CISO指揮）、Level 3（危機-CEO小組主導）客觀指標。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《三層資安事件分級與升級作業手冊》</w:t>
              <w:br/>
              <w:t>《戰時重大訊息與主管機關通報指引》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SecOps / 法務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明確權限升級時間與職責，避免單一資訊部門私了。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三層模型核心標準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2.4.2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編制 4 大生醫專屬資安 Playbooks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針對勒索軟體、BEC 商業詐騙、高階憑證外洩及重大供應商遭駭四大情境，編制詳細到分鐘級的標準應變劇本。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《重大勒索軟體戰時應變 Playbook》</w:t>
              <w:br/>
              <w:t>《商業郵件詐騙 (BEC) 處置劇本》</w:t>
              <w:br/>
              <w:t>《供應鏈安全事故應變劇本》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SecOps / QA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60–75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劇本涵蓋證據保全、業務替代方案與 GxP 放行標準。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IR Playbooks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2.4.3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主導高階管理層跨部門桌面兵棋推演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模擬跨國子公司與泛泰同時遭遇勒索且暗網施壓之複合危機，演練 C-Suite 危機決策、對外發言與業務連續性指引。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《跨部門桌面資安兵棋推演計畫》</w:t>
              <w:br/>
              <w:t>《兵推評估報告與 CAPA 改善清單》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總經理 / 跨部門主管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75–90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各部門熟悉戰時權責，演練發現缺失 100% 納入 CAPA。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每年2次演練 KPI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2.5：全球郵件防偽冒與核心網路微隔離 (Email &amp; Micro-segmentation)  [對齊附件：六大職能-偵測防護]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2.5.1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全球網域 DMARC p=reject 強制落地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 pharmaessentia.com 及所有海外官方網域實施嚴格 SPF/DKIM/DMARC p=reject 策略，杜絕駭客仿冒網域寄信。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《DMARC p=reject 強制執行證明》</w:t>
              <w:br/>
              <w:t>《全球郵件防護架構圖》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網路組 / SecOps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60–75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未經授權之偽冒官方郵件全球郵件伺服器 100% 拒收。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DMARC 標準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2.5.2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雲地核心伺服器網段微隔離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部署東西向微隔離策略（East-West Micro-segmentation），限制核心資料庫與伺服器間之非必要通訊，遏阻橫向擴散。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《核心系統微隔離拓撲圖與規則清冊》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網路組 / Security Engineering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70–90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阻斷未授權跨網段橫向探測，限制受害爆炸半徑。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Zero Trust 網路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2.5.3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台中蛋白質製造廠 Purdue 隔離確效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全面檢驗台中廠 SCADA/MES 工控環境與 IT 辦公網之實體/邏輯防火牆隔離，落實外部遠端連線雙簽放行機制。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《台中廠 OT Purdue Model 隔離確效書》</w:t>
              <w:br/>
              <w:t>《工控連線變更審批清冊》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廠長 / 網路主管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75–90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工廠產線維持 100% 封閉純淨，杜絕 IT 攻擊波及生產。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Purdue Model 規範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2.6：董事會一頁式 KRI 儀表板與投資商業案 (Board Governance)  [對齊附件：CISO年度KPI ＆ 治理原則]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2.6.1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董事會一頁式 KRI 儀表板上線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將複雜技術指標轉化為高管可讀之商業風險指標（資產分級、MFA 覆蓋率、MTTD、不可變備份演練率、供應鏈合約率）。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《董事會一頁式資安 KRI 儀表板 v1》</w:t>
              <w:br/>
              <w:t>《KRI 指標計算與數據管線規格書》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CISO Office / GRC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75–90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董事會資安戰情報告按期率 100%，以數據支撐決策。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董事會治理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2.6.2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年度資安預算效益商業個案 (Business Case)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精確編列下階段資安預算，詳細論證防護投資對守護 Besremi 專利、加速美日 ET 藥證取得及維持供藥之商業投資回報（ROI）。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《年度資安投資效益商業評估書》</w:t>
              <w:br/>
              <w:t>《董事會提案簡報 (16:9 總裁版)》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CISO / 財務長 / 總經理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80–90 天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獲得董事會與審計委員會正式核准通過後續年度預算。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商業個案標準</w:t>
            </w:r>
          </w:p>
        </w:tc>
      </w:tr>
      <w:tr>
        <w:tc>
          <w:tcPr>
            <w:tcW w:type="dxa" w:w="1152"/>
            <w:gridSpan w:val="8"/>
            <w:shd w:fill="FFF4E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9"/>
              </w:rPr>
              <w:t>【WBS 3.0】 階段三：深層整合、GxP 品質確效與供應鏈管理 (3–6 個月 ｜ Scale &amp; Quality Integration)</w:t>
              <w:br/>
              <w:t xml:space="preserve">  ➔ 管理重點：整合 24×7 MDR/SOC、集中日誌接入、落實弱點 SLA、GxP/CSV 安全確效、建立 TPRM 第三方風險制度與 BCP 演練。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3.1：24×7 外部 MDR/SOC 整合與日誌中台 (MDR/SOC Ingestion)  [對齊附件：六大職能-偵測防護 ＆ 編制委外]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3.1.1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頂級 24×7 MDR 託管服務評選與對接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遴選具備跨國威脅獵捕能力之頂級 MDR 服務商，簽署嚴格 SLA，建立 7x24x365 零死角即時安全監控機制。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《MDR 託管監控服務合約與 SLA》</w:t>
              <w:br/>
              <w:t>《外部 SOC 協同作戰規範 (SOP)》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SecOps / 採購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確認 24×7 全天候監控上線，告警秒級分流通知。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MSSP/MDR 協同模式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3.1.2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關鍵受管制系統日誌集中接入 SIEM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將集團全域 SAP、LIMS、EDR、AD、防火牆、VPN 及雲端 Tenant 審計日誌集中導入 SIEM 日誌中台，確保日誌防竄改。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《SIEM 日誌管線架構清冊》</w:t>
              <w:br/>
              <w:t>《日誌接入覆蓋率審計單》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SecOps / 基礎架構組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4–5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關鍵受管制系統安全日誌接入率達 95% 以上。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偵測指標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3.1.3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調優生醫專屬 Use Case 與威脅獵捕規則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針對異常大流量下載分子數據、非工作時間存取 LIMS、跨國不可能移動（Impossible Travel）等生醫情境調優關聯規則。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《生醫專屬 SIEM 告警用例庫 (Use Cases)》</w:t>
              <w:br/>
              <w:t>《威脅獵捕 (Threat Hunting) 劇本》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SecOps Lead / MDR 專家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誤報率壓降 60%，實現重大事件 MTTD &lt;15 分鐘目標。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MTTD &lt;15m KPI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3.2：漏洞自動化生命週期與修補 SLA 落地 (Vulnerability SLA)  [對齊附件：六大職能-偵測弱點 ＆ KPI]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3.2.1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建立基於風險之漏洞優先排序機制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結合威脅情資（CTI）與資產機敏度，導入 EPSS 評分模型，對內部弱點進行智慧優先級動態排序。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《漏洞優先級評估準則 (RBVM)》</w:t>
              <w:br/>
              <w:t>《高風險漏洞警報清單》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SecOps / GRC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精準識別具實際在野利用（Exploited in the wild）之漏洞。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漏洞管理標準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3.2.2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嚴格落實 Critical 72h / High 14d 修補 SLA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建立跨部門弱點修補管理辦法，嚴格執行核心系統 Critical 弱點 72 小時修復、High 弱點 14 天內修補之合規 SLA。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《全集團漏洞修補管制辦法》</w:t>
              <w:br/>
              <w:t>《漏洞修補 SLA 月度達標率統計表》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IT 維運組 / 應用組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Critical/High 弱點在定義 SLA 內修補率達 95% 以上。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弱點修補 95%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3.2.3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補丁上線前 GxP 確效相容性評估流程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協同 QA 建立受管制電腦化系統補丁驗證流程，確保安全性更新不破壞原有軟體確效（CSV）與法規合規狀態。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《受管制系統補丁評估作業指引》</w:t>
              <w:br/>
              <w:t>《補丁回歸測試簽核單》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QA Lead / 應用主管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補丁變更具備完整變更控制（Change Control）記錄。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GxP 變更控制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3.3：GxP 受管制系統資安風險分級與 CSV 確效 (GxP CSV/CSA)  [對齊附件：六大職能-GxP/CSV ＆ 治理原則]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3.3.1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受管制電腦化系統全域資產盤點與分級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 LIMS、QMS、DMS、ERP、臨床 EDC 及藥物安全系統進行資安與品質雙維度風險分級，明確劃定管制邊界。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《GxP 受管制系統清冊與風險分級表》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GxP 資安專員 / QA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4–5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高風險 GxP 系統完成資安風險評估率達 100%。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GxP 評估 100%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3.3.2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資安審查嵌入 CSV/CSA 電腦化系統生命週期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將資安控制基線（身分驗證、傳輸加密、存取權限）強制嵌入新系統採購、驗證（IQ/OQ/PQ）與週期性覆審環節。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《CSV/CSA 電腦化系統資安確效手冊》</w:t>
              <w:br/>
              <w:t>《系統資安確效查核封包 (Evidence Package)》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QA 主管 / GRC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受管制系統資安控制符合 ICH Q9(R1) 品質風險管理。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CSV/CSA 專家協作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3.3.3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FDA 21 CFR Part 11 電子記錄與簽章驗證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全盤查核受管制系統之電子簽章不可偽造性、防竄改時間戳記及使用者不可否認性（Non-repudiation）合規證明。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《FDA 21 CFR Part 11 合規稽核證明書》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QA 主管 / 法規主管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100% 符合 FDA 官方稽核對電子記錄之法定要求。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FDA Part 11 合規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3.4：ALCOA+ 資料完整性與 Audit Trail 監控 (Data Integrity)  [對齊附件：六大職能-GxP/Data Integrity]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3.4.1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實驗室與生產數據 ALCOA+ 防竄改基線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針對色譜儀、蛋白質分析儀等研發檢驗設備，落實數據產生、處理、存檔全流程符合 ALCOA+ 資料完整性原則。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《ALCOA+ 資料完整性防禦規範手冊》</w:t>
              <w:br/>
              <w:t>《實驗室儀器資安控制清單》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研發組 / QA / GxP 資安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原始檢驗數據具備防竄改機制，杜絕人為舞弊風險。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ALCOA+ 原則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3.4.2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導入 UEBA 智慧稽核軌跡 (Audit Trail) 審查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運用 UEBA 自動解析受管制系統 Audit Trail 日誌，秒級偵測非工作時間刪除、修改量測參數等異常行為。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《Audit Trail 自動化監測規則手冊》</w:t>
              <w:br/>
              <w:t>《UEBA 異常變更即時報警單》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QA Lead / SecOps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變審查作業由人工抽檢升級為 AI 全量即時監測。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UEBA 平台規劃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3.4.3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Audit Trail 缺失之 CAPA 即時改善閉環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建立 Audit Trail 監控異常發現之 CAPA 啟動機制，嚴格追蹤根因分析、防範再發與時效內結案流程。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《Audit Trail 缺失專案 CAPA 追蹤表》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QA 主管 / 內稽主管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Audit Trail 缺失之 CAPA 改善措施準時結案率達 95% 以上。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CAPA 結案 95% KPI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3.5：第三方供應鏈與外包商風險治理 (TPRM System)  [對齊附件：六大職能-第三方與營運韌性]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3.5.1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CRO、CDMO、CMO 及雲端商風險評估與分級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針對委託研究機構（CRO）、委託生產廠（CDMO）及雲端供應商實施嚴格資安盡職調查（Due Diligence）與風險分級清冊。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《第三方供應鏈資安風險評估報告》</w:t>
              <w:br/>
              <w:t>《高風險供應商納管名冊》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採購主管 / 供應鏈 / GRC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4–5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高風險第三方廠商資安審查覆蓋率達 100%。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TPRM 審查 100%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3.5.2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商業合約強制增訂標準資安與通報條款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協同法務部於所有委外研發、代工、IT 運維合約增訂標準資安責任條款、重大事件 24 小時內通報義務及實地稽核權利。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《第三方委外合約資安標準條款範本》</w:t>
              <w:br/>
              <w:t>《供應商合約重簽落實進度清冊》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法務長 / 供應鏈主管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關鍵業務委外合約標準資安條款納入率達 100%。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合約條款 100%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3.5.3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外部廠商專用跳板機與即時側錄通道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全面封閉廠商直接 VPN 存取權限，強制實施專用跳板機（Bastion）、即時連線審批（JIT Access）、MFA 與連線側錄。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《外部廠商遠端維運存取作業規範》</w:t>
              <w:br/>
              <w:t>《廠商遠端連線安全審計報表》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Security Engineering / IT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消除第三方供應商橫向滲透破壞藥華藥核心網段之途徑。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供應鏈安全控制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3.6：業務衝擊分析 (BIA) 與災難復原實戰演練 (BIA &amp; DR)  [對齊附件：六大職能-BCP/DR ＆ 韌性KPI]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3.6.1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全集團業務衝擊分析 (BIA) 評估重核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深入訪談全球各業務單位，重新核定全集團 Tier-1 核心系統之最大可容忍中斷時間（RTO &lt;4h）與資料遺失容忍（RPO &lt;15m）。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《藥華醫藥集團業務衝擊分析 (BIA) 報告》</w:t>
              <w:br/>
              <w:t>《核心業務系統 RTO/RPO 標竿清冊》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BCP 專員 / 跨部門主管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完成董事會與審計委員會簽核備查。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BIA 業務衝擊分析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3.6.2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多雲異地不可變備份 WORM 實體驗證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驗證跨區域雲端（AWS Tokyo / Azure Europe）資料備援同步性，實測不可變備份防勒索刪除機制之完整性。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《跨區域不可變備份架構手冊》</w:t>
              <w:br/>
              <w:t>《WORM 防篡改實體驗證證明》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基礎架構組 / BCP 專員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5–6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核心備份 100% 具備不可變鎖定或實體離線隔離。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不可變保護 100%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3.6.3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Tier-1 系統無預警災難復原切換實兵演練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 SAP S/4HANA 與 LIMS 發動無預警災難切換演練，實測資料庫還原、資料一致性核驗與業務復原上線全流程。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《Tier-1 災難復原 (DR) 演練總結報告》</w:t>
              <w:br/>
              <w:t>《復原時間數據分析驗證單》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IT 維運主管 / QA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6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Tier-1 備份還原成功率 100%，RTO/RPO 達標率 95% 以上。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還原成功率 100% KPI</w:t>
            </w:r>
          </w:p>
        </w:tc>
      </w:tr>
      <w:tr>
        <w:tc>
          <w:tcPr>
            <w:tcW w:type="dxa" w:w="1152"/>
            <w:gridSpan w:val="8"/>
            <w:shd w:fill="FFF4E6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E8590C"/>
                <w:sz w:val="19"/>
              </w:rPr>
              <w:t>【WBS 4.0】 階段四：全球子公司納管、AI 治理與常態免疫 (6–12 個月 ｜ Global Adaptive Resilience)</w:t>
              <w:br/>
              <w:t xml:space="preserve">  ➔ 管理重點：海外子公司全面納管、跨國危機兵推、ISO 27001 持續改善、企業級 AI 治理 (ISO 42001)、紅隊實戰與常態運營移交。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4.1：全球海外子公司與附屬事業全面納管 (Global Subs. Baseline)  [對齊附件：組織架構-海外子公司]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4.1.1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美國、日本、歐洲海外據點現場/遠端資安稽核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由總部 CISO 團隊對美國 PharmaEssentia USA、日本分公司及歐洲據點進行現地/遠距資安體檢，盤點當地資產與法遵合規。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《全球海外子公司資安成熟度體檢報告》</w:t>
              <w:br/>
              <w:t>《跨國法規合規差距分析 (GDPR/HIPAA)》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GRC Lead / 海外 IT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7–8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徹底掌握全球海外分支機構之安全現況與曝險。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全球治理標準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4.1.2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泛泰醫療及附屬單位身分與端點整合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將泛泰醫療及各子公司之身分目錄全面納入集團統一 Azure AD (Entra ID) 聯邦驗證，部署集團統一 EDR 監控策略。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《子公司身分與端點整合工程報告》</w:t>
              <w:br/>
              <w:t>《全球統一安全策略配置手冊》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Security Engineering / 海外 IT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8–9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消除影子 IT 與邊界管控死角，實現單一玻璃窗監控。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消滅邊界盲點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4.1.3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集團全球統一資安基線 (Group Baseline) 發布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正式頒布並強制推行全球統一資安基線，規範密碼政策、端點基線、資料分類與事件通報時間，納入子公司總經理考核。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《藥華醫藥集團全球資安基準政策 (Baseline)》</w:t>
              <w:br/>
              <w:t>《子公司簽署承諾遵循備忘錄》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總經理 / 海外子公司主管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9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全球分支機構 100% 簽署並完成基線合規化改造。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集團基線標準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4.2：董事會層級跨國重大危機兵棋演練 (Global Crisis Simulation)  [對齊附件：三層應變模型-Level 3]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4.2.1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設計跨國複合攻擊與供應鏈中斷演練腳本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模擬跨國 CDMO 廠中斷、美日臨床數據勒索與海外媒體聲譽施壓複合場景，考驗 C-Suite 跨時區危機處置應變。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《全球複合危機兵推劇本與導引手冊》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外部演練顧問 / CISO Office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9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情境貼合生醫商業實戰，覆蓋法規、商務與公關層面。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每年2次演練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4.2.2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董事會、C-Suite 與各國法規申報協導演練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演練涉及跨國重大訊息揭露、通報美國 FDA、歐洲 EMA、日本 PMDA 及台灣 TFDA 之法律協調與新聞稿發布程序。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《跨國法規通報應對清冊》</w:t>
              <w:br/>
              <w:t>《危機公關對外統一聲明庫》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董事長 / CEO / 法務長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9–10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法規通報決策時間縮短 50%，聲明嚴格基於鑑識事實。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以鑑識證據為準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4.2.3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演練缺失檢討與董事會決策鏈優化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召開兵推後檢討會議（Hotwash），提煉決策盲點，產出改善清單並正式向董事會提出指揮鏈優化報告。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《全球危機兵推評估總結報告》</w:t>
              <w:br/>
              <w:t>《董事會危機決策優化方案》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CISO / 總經理 / 審計會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10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董事會高度肯定，全面提升集團面對重大衝擊之定力。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危機管理標準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4.3：ISO/IEC 27001:2022 持續改善與年度複查 (ISMS Continuous)  [對齊附件：六大職能-GRC/ISMS]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4.3.1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執行全域 ISMS 內部稽核與控制測試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依據 ISO 27001:2022 最新 93 項控制措施，對總部、研發中心、台中廠及子公司實施年度全覆蓋內部稽核。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《ISO 27001:2022 年度內部稽核報告》</w:t>
              <w:br/>
              <w:t>《控制有效性測試底稿》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GRC Lead / 內稽主管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10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內外部稽核重大缺失維持零逾期改善。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缺失零逾期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4.3.2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召開年度管理審查會議 (MRM) 與 SoA 更新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由 CEO 主持年度最高管理審查會議，審議資安方針、風險評估結果與資源充足性，全面更新適用性聲明（SoA）。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《管理審查會議紀錄 (MRM)》</w:t>
              <w:br/>
              <w:t>《更新版適用性聲明書 (SoA v2.0)》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總經理 / CISO / 全體主管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10–11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管理審查符合國際標準規範，高階承諾具體落實。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ISMS 持續改善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4.3.3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通過國際第三方驗證機構年度監督查核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接受 BSI / SGS 等國際權威第三方驗證機構之年度外部審查，無重大不符合項（Major NC），順利維持證書有效性。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《國際驗證機構年度監督查核報告》</w:t>
              <w:br/>
              <w:t>《ISO 27001 國際認證維持證明》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CISO / GRC Lead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11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順利通過審查，持續鞏固國際商業夥伴與客戶信任。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ISO 27001:2022 維護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4.4：企業級生醫 AI 研發安全治理 (ISO 42001 AISDLC)  [對齊附件：六大職能-IAM/AI ＆ 鐵三角協同]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4.4.1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生醫 AI 藥物篩選與研發數據治理規範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針對生醫研發中利用 AI 進行分子篩選、蛋白質摺疊預測之運算管線，制定專屬資料保護與模型存取控制規範。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《新藥研發 AI 數據安全治理指引》</w:t>
              <w:br/>
              <w:t>《AI 運算環境合規查核清單》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CTO / GRC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10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確保 AI 研發符合國際生醫資料倫理與智慧財產保護。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生醫 AI 安全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4.4.2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落地 ISO 42001 AI 安全生命週期 (AISDLC)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導入 ISO 42001 AI 管理系統框架，在訓練資料準備、特徵提取、模型訓練至推論部署各環節設置安全品質閘門（Quality Gates）。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《ISO 42001 AISDLC 安全確效手冊》</w:t>
              <w:br/>
              <w:t>《AI 模型風險評估報告》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CTO 團隊 / GxP 資安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10–11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AI 演算法與模型交付具可追溯性與確效記錄。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ISO 42001 框架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4.4.3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UEBA 研發分子式數據外洩智慧偵測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在 AI 運算節點部署 UEBA 監控，實時獵捕異常大量提取特徵權重、逆向反編譯模型等潛在商業間諜外洩行為。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《AI 研發專利防竊監控規則手冊》</w:t>
              <w:br/>
              <w:t>《UEBA 模型防禦測試紀錄》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SecOps / 研發組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11–12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核心研發蛋白質分子專利模型與參數零外洩。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專利 0 外洩 KPI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4.5：獨立第三方紅藍軍全真攻防演練 (Red Teaming)  [對齊附件：六大職能-偵測防護 ＆ 委外演練]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4.5.1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簽約國際頂級白帽黑客執行無限制紅隊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聘請具備 APT 威脅模擬實力之外部紅隊，在未預告情境下針對集團全球資產發動多途徑實戰攻防滲透。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《紅隊攻防實戰演練授權合約》</w:t>
              <w:br/>
              <w:t>《演練安全規則 (RoE)》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外部紅隊 / 法務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11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遵循合約安全邊界，保障日常生產研發無中斷中立。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紅隊實戰標準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4.5.2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檢驗藍軍 (Blue Team) 偵測速度與阻斷鏈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實戰檢驗 MDR/SOC 與內部工程團隊在遭遇高強度攻擊時之告警觸發、分析圍堵與追蹤獵捕真實戰力。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《紅藍攻防對抗分析全紀錄》</w:t>
              <w:br/>
              <w:t>《MITRE ATT&amp;CK 覆蓋矩陣比對圖》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SecOps / MDR / 外部紅隊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11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全面驗證防禦體系在無預警攻擊下之真實防護縱深。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實戰檢驗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4.5.3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攻防發現項全面根除與防禦體系加固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針對紅隊演練突破點與防線盲區召開檢討會，制定 30 天根除計畫，完成所有高風險弱點修補驗證。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《紅隊演練缺失改善結案驗證書》</w:t>
              <w:br/>
              <w:t>《防禦加固配置清冊》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Security Engineering / CISO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11–12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演練發現高風險弱點 100% 根除結案。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閉環管理</w:t>
            </w:r>
          </w:p>
        </w:tc>
      </w:tr>
      <w:tr>
        <w:tc>
          <w:tcPr>
            <w:tcW w:type="dxa" w:w="1152"/>
            <w:gridSpan w:val="8"/>
            <w:shd w:fill="FFFDF8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Arial Rounded MT Bold" w:hAnsi="Arial Rounded MT Bold"/>
                <w:b/>
                <w:color w:val="D97706"/>
                <w:sz w:val="17"/>
              </w:rPr>
              <w:t>● 子模組 4.6：專案年度總驗收與常態化運營移交 (Annual Sign-off)  [對齊附件：董事會KPI ＆ 最終戰略定位]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4.6.1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董事會考核 6 大類 KPI/KRI 達成率評估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全面核算資產身分、偵測應變、韌性、GxP、風險供應鏈、治理六大類指標，形成客觀量化考核成績單。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《年度資安治理 KPI/KRI 達成率報告書》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CISO Office / 審計委員會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12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各項核心量化 KPI 達成率達 100%，成果豐碩卓越。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6大類考核 KPI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4.6.2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編制全球資安治理年度總結白皮書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總結 12 個月專案推進成果，展現藥華藥如何從遭網攻逆境翻轉為全球頂級生醫資安標竿，正式呈報董事會核定。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《藥華醫藥全球資安年度總結白皮書》</w:t>
              <w:br/>
              <w:t>《董事會年度資安結案簡報 (PPTX)》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CISO / 總經理 / 董事長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12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獲得董事會全體董事高度讚譽與正式決議通過結案。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年度白皮書</w:t>
            </w:r>
          </w:p>
        </w:tc>
      </w:tr>
      <w:tr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E8590C"/>
                <w:sz w:val="15"/>
              </w:rPr>
              <w:t>4.6.3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232629"/>
                <w:sz w:val="15"/>
              </w:rPr>
              <w:t>常態化免疫監控 Cadence 運營移交</w:t>
            </w:r>
          </w:p>
        </w:tc>
        <w:tc>
          <w:tcPr>
            <w:tcW w:type="dxa" w:w="2880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將專案模式無縫切換為日/週/月/季/年五層日常主動預防監控節奏，確保自適應韌性深植企業文化與日常運作。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《日常主動免疫監控作業指引》</w:t>
              <w:br/>
              <w:t>《專案結案與常態運維交接書》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C92A2A"/>
                <w:sz w:val="15"/>
              </w:rPr>
              <w:t>CISO / 全體同仁</w:t>
            </w:r>
          </w:p>
        </w:tc>
        <w:tc>
          <w:tcPr>
            <w:tcW w:type="dxa" w:w="86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 Rounded MT Bold" w:hAnsi="Arial Rounded MT Bold"/>
                <w:b/>
                <w:color w:val="D97706"/>
                <w:sz w:val="15"/>
              </w:rPr>
              <w:t>第 12 個月</w:t>
            </w:r>
          </w:p>
        </w:tc>
        <w:tc>
          <w:tcPr>
            <w:tcW w:type="dxa" w:w="1584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color w:val="232629"/>
                <w:sz w:val="15"/>
              </w:rPr>
              <w:t>實現 CISO Operating Model 常態化運轉，成為企業核心競爭力。</w:t>
            </w:r>
          </w:p>
        </w:tc>
        <w:tc>
          <w:tcPr>
            <w:tcW w:type="dxa" w:w="1152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/>
                <w:i/>
                <w:color w:val="646970"/>
                <w:sz w:val="15"/>
              </w:rPr>
              <w:t>日常主動預防體系</w:t>
            </w:r>
          </w:p>
        </w:tc>
      </w:tr>
    </w:tbl>
    <w:p>
      <w:pPr>
        <w:spacing w:after="240"/>
      </w:pPr>
    </w:p>
    <w:p>
      <w:pPr>
        <w:spacing w:after="120"/>
      </w:pPr>
      <w:r>
        <w:rPr>
          <w:rFonts w:ascii="Arial Rounded MT Bold" w:hAnsi="Arial Rounded MT Bold"/>
          <w:b/>
          <w:color w:val="E8590C"/>
          <w:sz w:val="26"/>
        </w:rPr>
        <w:t>三、 治理簽核與落地責任矩陣 (Governance Sign-off)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98"/>
        <w:gridCol w:w="3298"/>
        <w:gridCol w:w="3298"/>
      </w:tblGrid>
      <w:tr>
        <w:tc>
          <w:tcPr>
            <w:tcW w:type="dxa" w:w="3298"/>
            <w:shd w:fill="FFFF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60"/>
            </w:pPr>
            <w:r>
              <w:rPr>
                <w:rFonts w:ascii="Arial Rounded MT Bold" w:hAnsi="Arial Rounded MT Bold"/>
                <w:b/>
                <w:color w:val="E8590C"/>
                <w:sz w:val="18"/>
              </w:rPr>
              <w:t>✦ 規劃提案人 (我 / 廖博士)</w:t>
              <w:br/>
            </w:r>
            <w:r>
              <w:rPr>
                <w:rFonts w:ascii="Arial" w:hAnsi="Arial"/>
                <w:color w:val="232629"/>
                <w:sz w:val="16"/>
              </w:rPr>
              <w:t>廖倫豪 博士 (Howard Liao, Ph.D.)</w:t>
              <w:br/>
              <w:t>Group CISO 候選人</w:t>
              <w:br/>
              <w:br/>
              <w:t>簽署：_____________________</w:t>
              <w:br/>
              <w:t>日期：2026 年 8 月 31 日</w:t>
            </w:r>
          </w:p>
        </w:tc>
        <w:tc>
          <w:tcPr>
            <w:tcW w:type="dxa" w:w="3298"/>
            <w:shd w:fill="FFFF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60"/>
            </w:pPr>
            <w:r>
              <w:rPr>
                <w:rFonts w:ascii="Arial Rounded MT Bold" w:hAnsi="Arial Rounded MT Bold"/>
                <w:b/>
                <w:color w:val="E8590C"/>
                <w:sz w:val="18"/>
              </w:rPr>
              <w:t>✦ 審閱 (CHRO / CEO)</w:t>
              <w:br/>
            </w:r>
            <w:r>
              <w:rPr>
                <w:rFonts w:ascii="Arial" w:hAnsi="Arial"/>
                <w:color w:val="232629"/>
                <w:sz w:val="16"/>
              </w:rPr>
              <w:t>人資長 / 總經理 代表</w:t>
              <w:br/>
              <w:br/>
              <w:br/>
              <w:t>簽署：_____________________</w:t>
              <w:br/>
              <w:t>日期：2026 年 8 月 _____ 日</w:t>
            </w:r>
          </w:p>
        </w:tc>
        <w:tc>
          <w:tcPr>
            <w:tcW w:type="dxa" w:w="3298"/>
            <w:shd w:fill="FFFF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spacing w:after="60"/>
            </w:pPr>
            <w:r>
              <w:rPr>
                <w:rFonts w:ascii="Arial Rounded MT Bold" w:hAnsi="Arial Rounded MT Bold"/>
                <w:b/>
                <w:color w:val="E8590C"/>
                <w:sz w:val="18"/>
              </w:rPr>
              <w:t>✦ 核定 (Board / Audit Committee)</w:t>
              <w:br/>
            </w:r>
            <w:r>
              <w:rPr>
                <w:rFonts w:ascii="Arial" w:hAnsi="Arial"/>
                <w:color w:val="232629"/>
                <w:sz w:val="16"/>
              </w:rPr>
              <w:t>董事長 / 審計委員會代表</w:t>
              <w:br/>
              <w:br/>
              <w:br/>
              <w:t>簽署：_____________________</w:t>
              <w:br/>
              <w:t>日期：2026 年 8 月 _____ 日</w:t>
            </w:r>
          </w:p>
        </w:tc>
      </w:tr>
    </w:tbl>
    <w:sectPr w:rsidR="00FC693F" w:rsidRPr="0006063C" w:rsidSect="00034616">
      <w:pgSz w:w="11909" w:h="16834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