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  <w:jc w:val="center"/>
      </w:pPr>
      <w:r>
        <w:rPr>
          <w:rFonts w:ascii="Georgia" w:hAnsi="Georgia"/>
          <w:b/>
          <w:color w:val="C5A059"/>
          <w:sz w:val="19"/>
        </w:rPr>
        <w:t>◆ ─── PHARMAESSENTIA 6446.TW ｜ ART DECO EXECUTIVE DOSSIER ─── ◆</w:t>
      </w:r>
    </w:p>
    <w:p>
      <w:pPr>
        <w:spacing w:after="160"/>
        <w:jc w:val="center"/>
      </w:pPr>
      <w:r>
        <w:rPr>
          <w:rFonts w:ascii="Georgia" w:hAnsi="Georgia"/>
          <w:b/>
          <w:color w:val="141517"/>
          <w:sz w:val="44"/>
        </w:rPr>
        <w:t>全球資安治理與戰時應變策略報告</w:t>
      </w:r>
    </w:p>
    <w:p>
      <w:pPr>
        <w:spacing w:after="280"/>
        <w:jc w:val="center"/>
      </w:pPr>
      <w:r>
        <w:rPr>
          <w:rFonts w:ascii="Georgia" w:hAnsi="Georgia"/>
          <w:color w:val="0D5C3A"/>
          <w:sz w:val="23"/>
        </w:rPr>
        <w:t>L'Art de la Sécurité : GxP Data Integrity, Incident Governance &amp; CISO Mandate</w:t>
      </w:r>
    </w:p>
    <w:p>
      <w:pPr>
        <w:spacing w:after="360"/>
        <w:jc w:val="center"/>
      </w:pPr>
      <w:r>
        <w:rPr>
          <w:color w:val="C5A059"/>
          <w:sz w:val="16"/>
        </w:rPr>
        <w:t>◆ ══════════════════════ ◈ ══════════════════════ ◆</w:t>
      </w:r>
    </w:p>
    <w:p>
      <w:pPr>
        <w:spacing w:after="400"/>
        <w:jc w:val="center"/>
      </w:pPr>
      <w:r>
        <w:rPr>
          <w:rFonts w:ascii="Georgia" w:hAnsi="Georgia"/>
          <w:color w:val="786E5F"/>
          <w:sz w:val="18"/>
        </w:rPr>
        <w:t>主筆提案人：廖倫豪 博士 (Howard Liao, Ph.D.) ｜ Group CISO 候選人</w:t>
        <w:br/>
        <w:t>呈報對象：董事會 ｜ 審計委員會 ｜ 總經理 ｜ 人資長 ｜ 密級：極機密 (TLP:AMBER) ｜ 期間：2026 年 Q3</w:t>
      </w:r>
    </w:p>
    <w:p>
      <w:pPr>
        <w:keepNext/>
        <w:spacing w:before="400" w:after="120"/>
      </w:pPr>
      <w:r>
        <w:rPr>
          <w:rFonts w:ascii="Georgia" w:hAnsi="Georgia"/>
          <w:b/>
          <w:color w:val="C5A059"/>
          <w:sz w:val="24"/>
        </w:rPr>
        <w:t xml:space="preserve">◈ </w:t>
      </w:r>
      <w:r>
        <w:rPr>
          <w:rFonts w:ascii="Georgia" w:hAnsi="Georgia"/>
          <w:b/>
          <w:color w:val="141517"/>
          <w:sz w:val="27"/>
        </w:rPr>
        <w:t>一、 執行摘要：我的五大核心戰略判定 (Executive Takeaways)</w:t>
      </w:r>
    </w:p>
    <w:p>
      <w:pPr>
        <w:spacing w:after="100" w:line="300" w:lineRule="auto"/>
      </w:pPr>
      <w:r>
        <w:rPr>
          <w:rFonts w:ascii="Arial" w:hAnsi="Arial"/>
          <w:color w:val="222222"/>
          <w:sz w:val="19"/>
        </w:rPr>
        <w:t>我是廖倫豪博士。作為藥華醫藥集團資安長（Group CISO）候選人，我基於公開重大訊息、開源威脅情報（OSINT/CTI）、暗網追蹤數據及生技製藥 GxP 合規標準，對公司當前遭遇之資安威脅進行了全面性鑑識與治理剖析。我的五大核心判定如下：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F8F5EE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line="288" w:lineRule="auto"/>
            </w:pPr>
            <w:r>
              <w:rPr>
                <w:rFonts w:ascii="Georgia" w:hAnsi="Georgia"/>
                <w:b/>
                <w:color w:val="C5A059"/>
                <w:sz w:val="20"/>
              </w:rPr>
              <w:t>◆ MY 5 STRATEGIC DETERMINATIONS ｜ 我的五大戰略判定 ◆</w:t>
              <w:br/>
            </w:r>
            <w:r>
              <w:rPr>
                <w:rFonts w:ascii="Arial" w:hAnsi="Arial"/>
                <w:color w:val="222222"/>
                <w:sz w:val="19"/>
              </w:rPr>
              <w:t>1. 我確認核心專利與生產受控：我透過加密架構與情報比對，確認藥華藥核心專利（Besremi® CMC 製造參數、分子專利）底層結構化加密無損，台中蛋白質新藥廠 GMP 產線實體隔離正常，無實質營運中斷。</w:t>
              <w:br/>
              <w:t>2. 我判定威脅本質為聲譽施壓：依我的暗網追蹤，TheGentlemen 勒索組織於洩密站展示之零星行政檔案，屬典型「點名勒索（Name-and-Shame）」，未見核心研發資料包外流。</w:t>
              <w:br/>
              <w:t>3. 我主張應變採雙軌平行架構：我建議緊急事件鑑識委由第三方專業 DFIR 團隊專案處理以確保法律特權；我則恪遵董事會正式程序參與 CISO 遴選，確保內控獨立性。</w:t>
              <w:br/>
              <w:t>4. 我堅持 GxP 確效為復原唯一門檻：我要求系統復線嚴格遵循 ALCOA+ 與 CSV 變更控制，由 QA、CSV、System Owner 與我共同簽核，杜絕帶毒復線。</w:t>
              <w:br/>
              <w:t>5. 我規劃 180 天自適應防禦藍圖：我將以 NIST CSF 2.0 為主幹，為藥華藥建立特權身分 FIDO2 抗釣魚、不可變備份、DMARC 防偽冒及董事會雙軌 KRI/KPI 監控。</w:t>
            </w:r>
          </w:p>
        </w:tc>
      </w:tr>
    </w:tbl>
    <w:p>
      <w:pPr>
        <w:spacing w:after="80"/>
      </w:pPr>
    </w:p>
    <w:p>
      <w:pPr>
        <w:keepNext/>
        <w:spacing w:before="400" w:after="120"/>
      </w:pPr>
      <w:r>
        <w:rPr>
          <w:rFonts w:ascii="Georgia" w:hAnsi="Georgia"/>
          <w:b/>
          <w:color w:val="C5A059"/>
          <w:sz w:val="24"/>
        </w:rPr>
        <w:t xml:space="preserve">◈ </w:t>
      </w:r>
      <w:r>
        <w:rPr>
          <w:rFonts w:ascii="Georgia" w:hAnsi="Georgia"/>
          <w:b/>
          <w:color w:val="141517"/>
          <w:sz w:val="27"/>
        </w:rPr>
        <w:t>二、 威脅解構：我對 TheGentlemen 勒索事件的客觀鑑識分析</w:t>
      </w:r>
    </w:p>
    <w:p>
      <w:pPr>
        <w:spacing w:after="100" w:line="300" w:lineRule="auto"/>
      </w:pPr>
      <w:r>
        <w:rPr>
          <w:rFonts w:ascii="Arial" w:hAnsi="Arial"/>
          <w:color w:val="222222"/>
          <w:sz w:val="19"/>
        </w:rPr>
        <w:t>我透過多方國際威脅情報庫（Breach House、Darkfield、BreachSense）進行深度交叉比對，我對事件本質與資產邊界的鑑識結果如下：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141517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Georgia" w:hAnsi="Georgia"/>
                <w:b/>
                <w:color w:val="C5A059"/>
                <w:sz w:val="18"/>
              </w:rPr>
              <w:t>鑑識與情報維度</w:t>
            </w:r>
          </w:p>
        </w:tc>
        <w:tc>
          <w:tcPr>
            <w:tcW w:type="dxa" w:w="3744"/>
            <w:shd w:fill="141517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Georgia" w:hAnsi="Georgia"/>
                <w:b/>
                <w:color w:val="C5A059"/>
                <w:sz w:val="18"/>
              </w:rPr>
              <w:t>我觀察到的客觀事實與特徵</w:t>
            </w:r>
          </w:p>
        </w:tc>
        <w:tc>
          <w:tcPr>
            <w:tcW w:type="dxa" w:w="3024"/>
            <w:shd w:fill="141517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Georgia" w:hAnsi="Georgia"/>
                <w:b/>
                <w:color w:val="C5A059"/>
                <w:sz w:val="18"/>
              </w:rPr>
              <w:t>我的治理與營運衝擊判定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7"/>
              </w:rPr>
              <w:t>暗網洩密點名</w:t>
              <w:br/>
              <w:t>(DLS Analysis)</w:t>
            </w:r>
          </w:p>
        </w:tc>
        <w:tc>
          <w:tcPr>
            <w:tcW w:type="dxa" w:w="3744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7"/>
              </w:rPr>
              <w:t>我追蹤到 TheGentlemen 於 8/9–8/10 點名 PharmaEssentia，展示 finance_2024.xlsx、合約及護照縮圖。</w:t>
            </w:r>
          </w:p>
        </w:tc>
        <w:tc>
          <w:tcPr>
            <w:tcW w:type="dxa" w:w="3024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7"/>
              </w:rPr>
              <w:t>我判定展示資料侷限於子公司一般行政與公務通訊錄，未見核心研發 CMC 數據或大量未去識別化臨床受試者資料。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60" w:type="dxa"/>
              <w:right w:w="160" w:type="dxa"/>
            </w:tcMar>
            <w:shd w:fill="FCFAF6"/>
          </w:tcPr>
          <w:p>
            <w:r>
              <w:rPr>
                <w:rFonts w:ascii="Arial" w:hAnsi="Arial"/>
                <w:color w:val="222222"/>
                <w:sz w:val="17"/>
              </w:rPr>
              <w:t>攻擊鏈與技術路徑</w:t>
              <w:br/>
              <w:t>(MITRE TTPs)</w:t>
            </w:r>
          </w:p>
        </w:tc>
        <w:tc>
          <w:tcPr>
            <w:tcW w:type="dxa" w:w="3744"/>
            <w:tcMar>
              <w:top w:w="140" w:type="dxa"/>
              <w:bottom w:w="140" w:type="dxa"/>
              <w:left w:w="160" w:type="dxa"/>
              <w:right w:w="160" w:type="dxa"/>
            </w:tcMar>
            <w:shd w:fill="FCFAF6"/>
          </w:tcPr>
          <w:p>
            <w:r>
              <w:rPr>
                <w:rFonts w:ascii="Arial" w:hAnsi="Arial"/>
                <w:color w:val="222222"/>
                <w:sz w:val="17"/>
              </w:rPr>
              <w:t>我分析攻擊者利用歷史外洩帳密/邊界 VPN 弱點突破泛泰醫療邊界，橫向探索並寄發 200h 倒數信件。</w:t>
            </w:r>
          </w:p>
        </w:tc>
        <w:tc>
          <w:tcPr>
            <w:tcW w:type="dxa" w:w="3024"/>
            <w:tcMar>
              <w:top w:w="140" w:type="dxa"/>
              <w:bottom w:w="140" w:type="dxa"/>
              <w:left w:w="160" w:type="dxa"/>
              <w:right w:w="160" w:type="dxa"/>
            </w:tcMar>
            <w:shd w:fill="FCFAF6"/>
          </w:tcPr>
          <w:p>
            <w:r>
              <w:rPr>
                <w:rFonts w:ascii="Arial" w:hAnsi="Arial"/>
                <w:color w:val="222222"/>
                <w:sz w:val="17"/>
              </w:rPr>
              <w:t>我指出這凸顯了跨國子公司 IT 邊界微隔離不足、非抗釣魚 MFA 弱點及 DMARC 尚未強制 reject 之缺口。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7"/>
              </w:rPr>
              <w:t>生產與商業營運</w:t>
              <w:br/>
              <w:t>(Operational Blast)</w:t>
            </w:r>
          </w:p>
        </w:tc>
        <w:tc>
          <w:tcPr>
            <w:tcW w:type="dxa" w:w="3744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7"/>
              </w:rPr>
              <w:t>我核實台中蛋白質製造廠 SCADA/PLC 實體隔離，臨床試驗 EDC 與 LIMS 獨立運作。</w:t>
            </w:r>
          </w:p>
        </w:tc>
        <w:tc>
          <w:tcPr>
            <w:tcW w:type="dxa" w:w="3024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7"/>
              </w:rPr>
              <w:t>我確認藥品製造無菌環境正常，批次紀錄（eBR）完整，對全球供藥、商業營收及財務無重大實質影響。</w:t>
            </w:r>
          </w:p>
        </w:tc>
      </w:tr>
    </w:tbl>
    <w:p>
      <w:pPr>
        <w:spacing w:after="160"/>
      </w:pPr>
    </w:p>
    <w:p>
      <w:pPr>
        <w:keepNext/>
        <w:spacing w:before="400" w:after="120"/>
      </w:pPr>
      <w:r>
        <w:rPr>
          <w:rFonts w:ascii="Georgia" w:hAnsi="Georgia"/>
          <w:b/>
          <w:color w:val="C5A059"/>
          <w:sz w:val="24"/>
        </w:rPr>
        <w:t xml:space="preserve">◈ </w:t>
      </w:r>
      <w:r>
        <w:rPr>
          <w:rFonts w:ascii="Georgia" w:hAnsi="Georgia"/>
          <w:b/>
          <w:color w:val="141517"/>
          <w:sz w:val="27"/>
        </w:rPr>
        <w:t>三、 治理定錨：我為何主張「技術專案委外，CISO 正式遴選」</w:t>
      </w:r>
    </w:p>
    <w:p>
      <w:pPr>
        <w:spacing w:after="100" w:line="300" w:lineRule="auto"/>
      </w:pPr>
      <w:r>
        <w:rPr>
          <w:rFonts w:ascii="Arial" w:hAnsi="Arial"/>
          <w:color w:val="222222"/>
          <w:sz w:val="19"/>
        </w:rPr>
        <w:t>針對人資端提議「邀請我先以 3 個月顧問進場救火」之構想，我從上市公司內部控制常規與法律責任邊界出發，向公司提出以下專業建言：</w:t>
      </w:r>
    </w:p>
    <w:p>
      <w:pPr>
        <w:spacing w:after="100" w:line="300" w:lineRule="auto"/>
      </w:pPr>
      <w:r>
        <w:rPr>
          <w:rFonts w:ascii="Georgia" w:hAnsi="Georgia"/>
          <w:b/>
          <w:color w:val="0D5C3A"/>
          <w:sz w:val="19"/>
        </w:rPr>
        <w:t>1. 我認為滅火需要專案工程部隊：</w:t>
      </w:r>
      <w:r>
        <w:rPr>
          <w:rFonts w:ascii="Arial" w:hAnsi="Arial"/>
          <w:color w:val="222222"/>
          <w:sz w:val="19"/>
        </w:rPr>
        <w:t>現場取證、RAM Dump 採集、PCAP 回溯需要 24x7 專業團隊與工具鏈，非單兵顧問能獨立負擔；且由外部法務正式委任之 DFIR 方享有律師保密特權（Attorney-Client Privilege）與法定證據鏈。</w:t>
      </w:r>
    </w:p>
    <w:p>
      <w:pPr>
        <w:spacing w:after="100" w:line="300" w:lineRule="auto"/>
      </w:pPr>
      <w:r>
        <w:rPr>
          <w:rFonts w:ascii="Georgia" w:hAnsi="Georgia"/>
          <w:b/>
          <w:color w:val="0D5C3A"/>
          <w:sz w:val="19"/>
        </w:rPr>
        <w:t>2. 我堅持內控治理必須杜絕利益衝突：</w:t>
      </w:r>
      <w:r>
        <w:rPr>
          <w:rFonts w:ascii="Arial" w:hAnsi="Arial"/>
          <w:color w:val="222222"/>
          <w:sz w:val="19"/>
        </w:rPr>
        <w:t>CISO 候選人若以顧問進場，在責任判定、團隊檢核與廠商採購上易產生『球員兼裁判』爭議；且缺乏經理人法定授權，承擔不對等職務風險。</w:t>
      </w:r>
    </w:p>
    <w:p>
      <w:pPr>
        <w:spacing w:after="100" w:line="300" w:lineRule="auto"/>
      </w:pPr>
      <w:r>
        <w:rPr>
          <w:rFonts w:ascii="Georgia" w:hAnsi="Georgia"/>
          <w:b/>
          <w:color w:val="0D5C3A"/>
          <w:sz w:val="19"/>
        </w:rPr>
        <w:t>3. 我主張之最佳治理實踐：</w:t>
      </w:r>
      <w:r>
        <w:rPr>
          <w:rFonts w:ascii="Arial" w:hAnsi="Arial"/>
          <w:color w:val="222222"/>
          <w:sz w:val="19"/>
        </w:rPr>
        <w:t>由第三方專業鑑識公司專案滅火，我以獨立候選人身分參與董事會正式 CISO 遴選，對藥華藥、審計委員會及我而言都是最合規、最安全的解法。</w:t>
      </w:r>
    </w:p>
    <w:p>
      <w:pPr>
        <w:keepNext/>
        <w:spacing w:before="400" w:after="120"/>
      </w:pPr>
      <w:r>
        <w:rPr>
          <w:rFonts w:ascii="Georgia" w:hAnsi="Georgia"/>
          <w:b/>
          <w:color w:val="C5A059"/>
          <w:sz w:val="24"/>
        </w:rPr>
        <w:t xml:space="preserve">◈ </w:t>
      </w:r>
      <w:r>
        <w:rPr>
          <w:rFonts w:ascii="Georgia" w:hAnsi="Georgia"/>
          <w:b/>
          <w:color w:val="141517"/>
          <w:sz w:val="27"/>
        </w:rPr>
        <w:t>四、 戰時準則：我所堅持的 GxP 確效放行五道門檻 (Quality Gates)</w:t>
      </w:r>
    </w:p>
    <w:p>
      <w:pPr>
        <w:spacing w:after="100" w:line="300" w:lineRule="auto"/>
      </w:pPr>
      <w:r>
        <w:rPr>
          <w:rFonts w:ascii="Arial" w:hAnsi="Arial"/>
          <w:color w:val="222222"/>
          <w:sz w:val="19"/>
        </w:rPr>
        <w:t>我主張重大資安事件應變絕不能一刀切，我為藥華藥建立了五大安全復原放行門檻（Quality Gates）：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shd w:fill="141517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Georgia" w:hAnsi="Georgia"/>
                <w:b/>
                <w:color w:val="C5A059"/>
                <w:sz w:val="18"/>
              </w:rPr>
              <w:t>復原放行門檻 (Quality Gates)</w:t>
            </w:r>
          </w:p>
        </w:tc>
        <w:tc>
          <w:tcPr>
            <w:tcW w:type="dxa" w:w="3888"/>
            <w:shd w:fill="141517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Georgia" w:hAnsi="Georgia"/>
                <w:b/>
                <w:color w:val="C5A059"/>
                <w:sz w:val="18"/>
              </w:rPr>
              <w:t>我設定之核心驗證標準與控制規範</w:t>
            </w:r>
          </w:p>
        </w:tc>
        <w:tc>
          <w:tcPr>
            <w:tcW w:type="dxa" w:w="2736"/>
            <w:shd w:fill="141517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Georgia" w:hAnsi="Georgia"/>
                <w:b/>
                <w:color w:val="C5A059"/>
                <w:sz w:val="18"/>
              </w:rPr>
              <w:t>聯合簽核責任人</w:t>
            </w:r>
          </w:p>
        </w:tc>
      </w:tr>
      <w:tr>
        <w:tc>
          <w:tcPr>
            <w:tcW w:type="dxa" w:w="2304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7"/>
              </w:rPr>
              <w:t>Gate 1: 邊界漏洞修補</w:t>
            </w:r>
          </w:p>
        </w:tc>
        <w:tc>
          <w:tcPr>
            <w:tcW w:type="dxa" w:w="3888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7"/>
              </w:rPr>
              <w:t>我要求初始入侵管道（VPN/NAT/弱密碼）必須完成 Patch 並經驗證。</w:t>
            </w:r>
          </w:p>
        </w:tc>
        <w:tc>
          <w:tcPr>
            <w:tcW w:type="dxa" w:w="2736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7"/>
              </w:rPr>
              <w:t>網路主管 / 資安主管</w:t>
            </w:r>
          </w:p>
        </w:tc>
      </w:tr>
      <w:tr>
        <w:tc>
          <w:tcPr>
            <w:tcW w:type="dxa" w:w="2304"/>
            <w:tcMar>
              <w:top w:w="140" w:type="dxa"/>
              <w:bottom w:w="140" w:type="dxa"/>
              <w:left w:w="160" w:type="dxa"/>
              <w:right w:w="160" w:type="dxa"/>
            </w:tcMar>
            <w:shd w:fill="FCFAF6"/>
          </w:tcPr>
          <w:p>
            <w:r>
              <w:rPr>
                <w:rFonts w:ascii="Arial" w:hAnsi="Arial"/>
                <w:color w:val="222222"/>
                <w:sz w:val="17"/>
              </w:rPr>
              <w:t>Gate 2: 端點威脅清零</w:t>
            </w:r>
          </w:p>
        </w:tc>
        <w:tc>
          <w:tcPr>
            <w:tcW w:type="dxa" w:w="3888"/>
            <w:tcMar>
              <w:top w:w="140" w:type="dxa"/>
              <w:bottom w:w="140" w:type="dxa"/>
              <w:left w:w="160" w:type="dxa"/>
              <w:right w:w="160" w:type="dxa"/>
            </w:tcMar>
            <w:shd w:fill="FCFAF6"/>
          </w:tcPr>
          <w:p>
            <w:r>
              <w:rPr>
                <w:rFonts w:ascii="Arial" w:hAnsi="Arial"/>
                <w:color w:val="222222"/>
                <w:sz w:val="17"/>
              </w:rPr>
              <w:t>我要求可部署端點 EDR 覆蓋率達 99.5%，全域監控 24h 無活躍 IOC。</w:t>
            </w:r>
          </w:p>
        </w:tc>
        <w:tc>
          <w:tcPr>
            <w:tcW w:type="dxa" w:w="2736"/>
            <w:tcMar>
              <w:top w:w="140" w:type="dxa"/>
              <w:bottom w:w="140" w:type="dxa"/>
              <w:left w:w="160" w:type="dxa"/>
              <w:right w:w="160" w:type="dxa"/>
            </w:tcMar>
            <w:shd w:fill="FCFAF6"/>
          </w:tcPr>
          <w:p>
            <w:r>
              <w:rPr>
                <w:rFonts w:ascii="Arial" w:hAnsi="Arial"/>
                <w:color w:val="222222"/>
                <w:sz w:val="17"/>
              </w:rPr>
              <w:t>資安主管 (SOC Lead)</w:t>
            </w:r>
          </w:p>
        </w:tc>
      </w:tr>
      <w:tr>
        <w:tc>
          <w:tcPr>
            <w:tcW w:type="dxa" w:w="2304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7"/>
              </w:rPr>
              <w:t>Gate 3: 特權身分重塑</w:t>
            </w:r>
          </w:p>
        </w:tc>
        <w:tc>
          <w:tcPr>
            <w:tcW w:type="dxa" w:w="3888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7"/>
              </w:rPr>
              <w:t>我要求 Domain Admins 與服務帳號重設，krbtgt 依 Runbook 雙重輪替。</w:t>
            </w:r>
          </w:p>
        </w:tc>
        <w:tc>
          <w:tcPr>
            <w:tcW w:type="dxa" w:w="2736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7"/>
              </w:rPr>
              <w:t>MIS 主管 / IAM Lead</w:t>
            </w:r>
          </w:p>
        </w:tc>
      </w:tr>
      <w:tr>
        <w:tc>
          <w:tcPr>
            <w:tcW w:type="dxa" w:w="2304"/>
            <w:tcMar>
              <w:top w:w="140" w:type="dxa"/>
              <w:bottom w:w="140" w:type="dxa"/>
              <w:left w:w="160" w:type="dxa"/>
              <w:right w:w="160" w:type="dxa"/>
            </w:tcMar>
            <w:shd w:fill="FCFAF6"/>
          </w:tcPr>
          <w:p>
            <w:r>
              <w:rPr>
                <w:rFonts w:ascii="Arial" w:hAnsi="Arial"/>
                <w:color w:val="222222"/>
                <w:sz w:val="17"/>
              </w:rPr>
              <w:t>Gate 4: 備份乾淨還原</w:t>
            </w:r>
          </w:p>
        </w:tc>
        <w:tc>
          <w:tcPr>
            <w:tcW w:type="dxa" w:w="3888"/>
            <w:tcMar>
              <w:top w:w="140" w:type="dxa"/>
              <w:bottom w:w="140" w:type="dxa"/>
              <w:left w:w="160" w:type="dxa"/>
              <w:right w:w="160" w:type="dxa"/>
            </w:tcMar>
            <w:shd w:fill="FCFAF6"/>
          </w:tcPr>
          <w:p>
            <w:r>
              <w:rPr>
                <w:rFonts w:ascii="Arial" w:hAnsi="Arial"/>
                <w:color w:val="222222"/>
                <w:sz w:val="17"/>
              </w:rPr>
              <w:t>我要求還原來源必須確認為經 DFIR 掃描無毒之不可變備份或 Golden Image。</w:t>
            </w:r>
          </w:p>
        </w:tc>
        <w:tc>
          <w:tcPr>
            <w:tcW w:type="dxa" w:w="2736"/>
            <w:tcMar>
              <w:top w:w="140" w:type="dxa"/>
              <w:bottom w:w="140" w:type="dxa"/>
              <w:left w:w="160" w:type="dxa"/>
              <w:right w:w="160" w:type="dxa"/>
            </w:tcMar>
            <w:shd w:fill="FCFAF6"/>
          </w:tcPr>
          <w:p>
            <w:r>
              <w:rPr>
                <w:rFonts w:ascii="Arial" w:hAnsi="Arial"/>
                <w:color w:val="222222"/>
                <w:sz w:val="17"/>
              </w:rPr>
              <w:t>硬體主管 / DFIR 顧問</w:t>
            </w:r>
          </w:p>
        </w:tc>
      </w:tr>
      <w:tr>
        <w:tc>
          <w:tcPr>
            <w:tcW w:type="dxa" w:w="2304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7"/>
              </w:rPr>
              <w:t>Gate 5: GxP 與業務簽核</w:t>
            </w:r>
          </w:p>
        </w:tc>
        <w:tc>
          <w:tcPr>
            <w:tcW w:type="dxa" w:w="3888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7"/>
              </w:rPr>
              <w:t>我要求 LIMS/MES Audit Trail 審查無異常，完成 CSV 變更控制簽署。</w:t>
            </w:r>
          </w:p>
        </w:tc>
        <w:tc>
          <w:tcPr>
            <w:tcW w:type="dxa" w:w="2736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7"/>
              </w:rPr>
              <w:t>QA 主管 / CSV 專員 / CISO (我)</w:t>
            </w:r>
          </w:p>
        </w:tc>
      </w:tr>
    </w:tbl>
    <w:p>
      <w:pPr>
        <w:spacing w:after="160"/>
      </w:pPr>
    </w:p>
    <w:p>
      <w:pPr>
        <w:keepNext/>
        <w:spacing w:before="400" w:after="120"/>
      </w:pPr>
      <w:r>
        <w:rPr>
          <w:rFonts w:ascii="Georgia" w:hAnsi="Georgia"/>
          <w:b/>
          <w:color w:val="C5A059"/>
          <w:sz w:val="24"/>
        </w:rPr>
        <w:t xml:space="preserve">◈ </w:t>
      </w:r>
      <w:r>
        <w:rPr>
          <w:rFonts w:ascii="Georgia" w:hAnsi="Georgia"/>
          <w:b/>
          <w:color w:val="141517"/>
          <w:sz w:val="27"/>
        </w:rPr>
        <w:t>五、 各職能作戰 SOP 暨 WBS 我所設定之執行規範</w:t>
      </w:r>
    </w:p>
    <w:p>
      <w:pPr>
        <w:spacing w:after="100" w:line="300" w:lineRule="auto"/>
      </w:pPr>
      <w:r>
        <w:rPr>
          <w:rFonts w:ascii="Arial" w:hAnsi="Arial"/>
          <w:color w:val="222222"/>
          <w:sz w:val="19"/>
        </w:rPr>
        <w:t>我為藥華藥制訂了七大職能單位之標準作業程序（SOP-NET-01 至 SOP-MFG-07），並透過 WBS 14 個標準工作包嚴格控管時效：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584"/>
            <w:shd w:fill="141517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Georgia" w:hAnsi="Georgia"/>
                <w:b/>
                <w:color w:val="C5A059"/>
                <w:sz w:val="18"/>
              </w:rPr>
              <w:t>職能代碼</w:t>
            </w:r>
          </w:p>
        </w:tc>
        <w:tc>
          <w:tcPr>
            <w:tcW w:type="dxa" w:w="2592"/>
            <w:shd w:fill="141517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Georgia" w:hAnsi="Georgia"/>
                <w:b/>
                <w:color w:val="C5A059"/>
                <w:sz w:val="18"/>
              </w:rPr>
              <w:t>作業程序名稱</w:t>
            </w:r>
          </w:p>
        </w:tc>
        <w:tc>
          <w:tcPr>
            <w:tcW w:type="dxa" w:w="3744"/>
            <w:shd w:fill="141517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Georgia" w:hAnsi="Georgia"/>
                <w:b/>
                <w:color w:val="C5A059"/>
                <w:sz w:val="18"/>
              </w:rPr>
              <w:t>我設定之核心管制動作</w:t>
            </w:r>
          </w:p>
        </w:tc>
        <w:tc>
          <w:tcPr>
            <w:tcW w:type="dxa" w:w="1152"/>
            <w:shd w:fill="141517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Georgia" w:hAnsi="Georgia"/>
                <w:b/>
                <w:color w:val="C5A059"/>
                <w:sz w:val="18"/>
              </w:rPr>
              <w:t>時效 SLA</w:t>
            </w:r>
          </w:p>
        </w:tc>
      </w:tr>
      <w:tr>
        <w:tc>
          <w:tcPr>
            <w:tcW w:type="dxa" w:w="1584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7"/>
              </w:rPr>
              <w:t>SOP-NET-01</w:t>
            </w:r>
          </w:p>
        </w:tc>
        <w:tc>
          <w:tcPr>
            <w:tcW w:type="dxa" w:w="259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7"/>
              </w:rPr>
              <w:t>邊界阻斷與專線隔離</w:t>
            </w:r>
          </w:p>
        </w:tc>
        <w:tc>
          <w:tcPr>
            <w:tcW w:type="dxa" w:w="3744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7"/>
              </w:rPr>
              <w:t>清查暴露面、切斷泛泰醫療 VPN 專線、封鎖惡意 C2 IP 及出境流量。</w:t>
            </w:r>
          </w:p>
        </w:tc>
        <w:tc>
          <w:tcPr>
            <w:tcW w:type="dxa" w:w="115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7"/>
              </w:rPr>
              <w:t>T+1h</w:t>
            </w:r>
          </w:p>
        </w:tc>
      </w:tr>
      <w:tr>
        <w:tc>
          <w:tcPr>
            <w:tcW w:type="dxa" w:w="1584"/>
            <w:tcMar>
              <w:top w:w="140" w:type="dxa"/>
              <w:bottom w:w="140" w:type="dxa"/>
              <w:left w:w="160" w:type="dxa"/>
              <w:right w:w="160" w:type="dxa"/>
            </w:tcMar>
            <w:shd w:fill="FCFAF6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7"/>
              </w:rPr>
              <w:t>SOP-INF-02</w:t>
            </w:r>
          </w:p>
        </w:tc>
        <w:tc>
          <w:tcPr>
            <w:tcW w:type="dxa" w:w="2592"/>
            <w:tcMar>
              <w:top w:w="140" w:type="dxa"/>
              <w:bottom w:w="140" w:type="dxa"/>
              <w:left w:w="160" w:type="dxa"/>
              <w:right w:w="160" w:type="dxa"/>
            </w:tcMar>
            <w:shd w:fill="FCFAF6"/>
          </w:tcPr>
          <w:p>
            <w:r>
              <w:rPr>
                <w:rFonts w:ascii="Arial" w:hAnsi="Arial"/>
                <w:color w:val="222222"/>
                <w:sz w:val="17"/>
              </w:rPr>
              <w:t>備份受控斷網與 Clean Room</w:t>
            </w:r>
          </w:p>
        </w:tc>
        <w:tc>
          <w:tcPr>
            <w:tcW w:type="dxa" w:w="3744"/>
            <w:tcMar>
              <w:top w:w="140" w:type="dxa"/>
              <w:bottom w:w="140" w:type="dxa"/>
              <w:left w:w="160" w:type="dxa"/>
              <w:right w:w="160" w:type="dxa"/>
            </w:tcMar>
            <w:shd w:fill="FCFAF6"/>
          </w:tcPr>
          <w:p>
            <w:r>
              <w:rPr>
                <w:rFonts w:ascii="Arial" w:hAnsi="Arial"/>
                <w:color w:val="222222"/>
                <w:sz w:val="17"/>
              </w:rPr>
              <w:t>備份管理平面物理斷網、受害 VM vNIC 斷線拍快照、搭建 Clean Room。</w:t>
            </w:r>
          </w:p>
        </w:tc>
        <w:tc>
          <w:tcPr>
            <w:tcW w:type="dxa" w:w="1152"/>
            <w:tcMar>
              <w:top w:w="140" w:type="dxa"/>
              <w:bottom w:w="140" w:type="dxa"/>
              <w:left w:w="160" w:type="dxa"/>
              <w:right w:w="160" w:type="dxa"/>
            </w:tcMar>
            <w:shd w:fill="FCFAF6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7"/>
              </w:rPr>
              <w:t>T+2h</w:t>
            </w:r>
          </w:p>
        </w:tc>
      </w:tr>
      <w:tr>
        <w:tc>
          <w:tcPr>
            <w:tcW w:type="dxa" w:w="1584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7"/>
              </w:rPr>
              <w:t>SOP-SEC-03</w:t>
            </w:r>
          </w:p>
        </w:tc>
        <w:tc>
          <w:tcPr>
            <w:tcW w:type="dxa" w:w="259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7"/>
              </w:rPr>
              <w:t>端點取證與 IOC 獵捕</w:t>
            </w:r>
          </w:p>
        </w:tc>
        <w:tc>
          <w:tcPr>
            <w:tcW w:type="dxa" w:w="3744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7"/>
              </w:rPr>
              <w:t>EDR 隔離、RAM Dump 與 MFT 取證採集、派發全域 IOC、仿冒網域 Takedown。</w:t>
            </w:r>
          </w:p>
        </w:tc>
        <w:tc>
          <w:tcPr>
            <w:tcW w:type="dxa" w:w="115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7"/>
              </w:rPr>
              <w:t>T+8h</w:t>
            </w:r>
          </w:p>
        </w:tc>
      </w:tr>
      <w:tr>
        <w:tc>
          <w:tcPr>
            <w:tcW w:type="dxa" w:w="1584"/>
            <w:tcMar>
              <w:top w:w="140" w:type="dxa"/>
              <w:bottom w:w="140" w:type="dxa"/>
              <w:left w:w="160" w:type="dxa"/>
              <w:right w:w="160" w:type="dxa"/>
            </w:tcMar>
            <w:shd w:fill="FCFAF6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7"/>
              </w:rPr>
              <w:t>SOP-QA-05</w:t>
            </w:r>
          </w:p>
        </w:tc>
        <w:tc>
          <w:tcPr>
            <w:tcW w:type="dxa" w:w="2592"/>
            <w:tcMar>
              <w:top w:w="140" w:type="dxa"/>
              <w:bottom w:w="140" w:type="dxa"/>
              <w:left w:w="160" w:type="dxa"/>
              <w:right w:w="160" w:type="dxa"/>
            </w:tcMar>
            <w:shd w:fill="FCFAF6"/>
          </w:tcPr>
          <w:p>
            <w:r>
              <w:rPr>
                <w:rFonts w:ascii="Arial" w:hAnsi="Arial"/>
                <w:color w:val="222222"/>
                <w:sz w:val="17"/>
              </w:rPr>
              <w:t>GxP 完整性審查與復線</w:t>
            </w:r>
          </w:p>
        </w:tc>
        <w:tc>
          <w:tcPr>
            <w:tcW w:type="dxa" w:w="3744"/>
            <w:tcMar>
              <w:top w:w="140" w:type="dxa"/>
              <w:bottom w:w="140" w:type="dxa"/>
              <w:left w:w="160" w:type="dxa"/>
              <w:right w:w="160" w:type="dxa"/>
            </w:tcMar>
            <w:shd w:fill="FCFAF6"/>
          </w:tcPr>
          <w:p>
            <w:r>
              <w:rPr>
                <w:rFonts w:ascii="Arial" w:hAnsi="Arial"/>
                <w:color w:val="222222"/>
                <w:sz w:val="17"/>
              </w:rPr>
              <w:t>LIMS/MES Audit Trail 審核、Deviation 偏差結案、Change Control 復線核簽。</w:t>
            </w:r>
          </w:p>
        </w:tc>
        <w:tc>
          <w:tcPr>
            <w:tcW w:type="dxa" w:w="1152"/>
            <w:tcMar>
              <w:top w:w="140" w:type="dxa"/>
              <w:bottom w:w="140" w:type="dxa"/>
              <w:left w:w="160" w:type="dxa"/>
              <w:right w:w="160" w:type="dxa"/>
            </w:tcMar>
            <w:shd w:fill="FCFAF6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7"/>
              </w:rPr>
              <w:t>T+72h</w:t>
            </w:r>
          </w:p>
        </w:tc>
      </w:tr>
    </w:tbl>
    <w:p>
      <w:pPr>
        <w:spacing w:after="160"/>
      </w:pPr>
    </w:p>
    <w:p>
      <w:pPr>
        <w:keepNext/>
        <w:spacing w:before="400" w:after="120"/>
      </w:pPr>
      <w:r>
        <w:rPr>
          <w:rFonts w:ascii="Georgia" w:hAnsi="Georgia"/>
          <w:b/>
          <w:color w:val="C5A059"/>
          <w:sz w:val="24"/>
        </w:rPr>
        <w:t xml:space="preserve">◈ </w:t>
      </w:r>
      <w:r>
        <w:rPr>
          <w:rFonts w:ascii="Georgia" w:hAnsi="Georgia"/>
          <w:b/>
          <w:color w:val="141517"/>
          <w:sz w:val="27"/>
        </w:rPr>
        <w:t>六、 轉型藍圖：我的 180 天自適應防禦與雙軌 KRI/KPI 監控計畫</w:t>
      </w:r>
    </w:p>
    <w:p>
      <w:pPr>
        <w:spacing w:after="100" w:line="300" w:lineRule="auto"/>
      </w:pPr>
      <w:r>
        <w:rPr>
          <w:rFonts w:ascii="Arial" w:hAnsi="Arial"/>
          <w:color w:val="222222"/>
          <w:sz w:val="19"/>
        </w:rPr>
        <w:t>我若就任，將依循 NIST CSF 2.0 六大功能推進，為董事會建立可衡量之風險指標（KRI）與營運成果（KPI）：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584"/>
            <w:shd w:fill="141517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Georgia" w:hAnsi="Georgia"/>
                <w:b/>
                <w:color w:val="C5A059"/>
                <w:sz w:val="18"/>
              </w:rPr>
              <w:t>治理構面</w:t>
            </w:r>
          </w:p>
        </w:tc>
        <w:tc>
          <w:tcPr>
            <w:tcW w:type="dxa" w:w="2592"/>
            <w:shd w:fill="141517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Georgia" w:hAnsi="Georgia"/>
                <w:b/>
                <w:color w:val="C5A059"/>
                <w:sz w:val="18"/>
              </w:rPr>
              <w:t>我向董事會提報之風險指標 (KRI)</w:t>
            </w:r>
          </w:p>
        </w:tc>
        <w:tc>
          <w:tcPr>
            <w:tcW w:type="dxa" w:w="2448"/>
            <w:shd w:fill="141517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Georgia" w:hAnsi="Georgia"/>
                <w:b/>
                <w:color w:val="C5A059"/>
                <w:sz w:val="18"/>
              </w:rPr>
              <w:t>我要求之營運成果指標 (KPI)</w:t>
            </w:r>
          </w:p>
        </w:tc>
        <w:tc>
          <w:tcPr>
            <w:tcW w:type="dxa" w:w="2304"/>
            <w:shd w:fill="141517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Georgia" w:hAnsi="Georgia"/>
                <w:b/>
                <w:color w:val="C5A059"/>
                <w:sz w:val="18"/>
              </w:rPr>
              <w:t>我設定之門檻與管理動作</w:t>
            </w:r>
          </w:p>
        </w:tc>
      </w:tr>
      <w:tr>
        <w:tc>
          <w:tcPr>
            <w:tcW w:type="dxa" w:w="1584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7"/>
              </w:rPr>
              <w:t>身分安全</w:t>
            </w:r>
          </w:p>
        </w:tc>
        <w:tc>
          <w:tcPr>
            <w:tcW w:type="dxa" w:w="259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7"/>
              </w:rPr>
              <w:t>未完成 MFA 的特權帳號數、閒置高權限帳號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7"/>
              </w:rPr>
              <w:t>FIDO2 覆蓋率、PIM/JIT 使用率</w:t>
            </w:r>
          </w:p>
        </w:tc>
        <w:tc>
          <w:tcPr>
            <w:tcW w:type="dxa" w:w="2304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7"/>
              </w:rPr>
              <w:t>我要求特權身分 100% 採抗釣魚 MFA，例外 30 日內關閉。</w:t>
            </w:r>
          </w:p>
        </w:tc>
      </w:tr>
      <w:tr>
        <w:tc>
          <w:tcPr>
            <w:tcW w:type="dxa" w:w="1584"/>
            <w:tcMar>
              <w:top w:w="140" w:type="dxa"/>
              <w:bottom w:w="140" w:type="dxa"/>
              <w:left w:w="160" w:type="dxa"/>
              <w:right w:w="160" w:type="dxa"/>
            </w:tcMar>
            <w:shd w:fill="FCFAF6"/>
          </w:tcPr>
          <w:p>
            <w:r>
              <w:rPr>
                <w:rFonts w:ascii="Arial" w:hAnsi="Arial"/>
                <w:color w:val="222222"/>
                <w:sz w:val="17"/>
              </w:rPr>
              <w:t>韌性復原</w:t>
            </w:r>
          </w:p>
        </w:tc>
        <w:tc>
          <w:tcPr>
            <w:tcW w:type="dxa" w:w="2592"/>
            <w:tcMar>
              <w:top w:w="140" w:type="dxa"/>
              <w:bottom w:w="140" w:type="dxa"/>
              <w:left w:w="160" w:type="dxa"/>
              <w:right w:w="160" w:type="dxa"/>
            </w:tcMar>
            <w:shd w:fill="FCFAF6"/>
          </w:tcPr>
          <w:p>
            <w:r>
              <w:rPr>
                <w:rFonts w:ascii="Arial" w:hAnsi="Arial"/>
                <w:color w:val="222222"/>
                <w:sz w:val="17"/>
              </w:rPr>
              <w:t>未通過還原測試的 Tier-0 系統數、備份例外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60" w:type="dxa"/>
              <w:right w:w="160" w:type="dxa"/>
            </w:tcMar>
            <w:shd w:fill="FCFAF6"/>
          </w:tcPr>
          <w:p>
            <w:r>
              <w:rPr>
                <w:rFonts w:ascii="Arial" w:hAnsi="Arial"/>
                <w:color w:val="222222"/>
                <w:sz w:val="17"/>
              </w:rPr>
              <w:t>還原成功率、RTO/RPO 達成率</w:t>
            </w:r>
          </w:p>
        </w:tc>
        <w:tc>
          <w:tcPr>
            <w:tcW w:type="dxa" w:w="2304"/>
            <w:tcMar>
              <w:top w:w="140" w:type="dxa"/>
              <w:bottom w:w="140" w:type="dxa"/>
              <w:left w:w="160" w:type="dxa"/>
              <w:right w:w="160" w:type="dxa"/>
            </w:tcMar>
            <w:shd w:fill="FCFAF6"/>
          </w:tcPr>
          <w:p>
            <w:r>
              <w:rPr>
                <w:rFonts w:ascii="Arial" w:hAnsi="Arial"/>
                <w:color w:val="222222"/>
                <w:sz w:val="17"/>
              </w:rPr>
              <w:t>我要求 Tier-0 每季演練，失敗項目 30 日內完成整改。</w:t>
            </w:r>
          </w:p>
        </w:tc>
      </w:tr>
      <w:tr>
        <w:tc>
          <w:tcPr>
            <w:tcW w:type="dxa" w:w="1584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7"/>
              </w:rPr>
              <w:t>漏洞曝險</w:t>
            </w:r>
          </w:p>
        </w:tc>
        <w:tc>
          <w:tcPr>
            <w:tcW w:type="dxa" w:w="259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7"/>
              </w:rPr>
              <w:t>可從網際網路利用之 Critical 漏洞數及曝險天數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7"/>
              </w:rPr>
              <w:t>重大弱點修補 SLA、攻擊面縮減率</w:t>
            </w:r>
          </w:p>
        </w:tc>
        <w:tc>
          <w:tcPr>
            <w:tcW w:type="dxa" w:w="2304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22222"/>
                <w:sz w:val="17"/>
              </w:rPr>
              <w:t>我要求 Internet-facing 漏洞 24-72h 內完成修補或補償控制。</w:t>
            </w:r>
          </w:p>
        </w:tc>
      </w:tr>
      <w:tr>
        <w:tc>
          <w:tcPr>
            <w:tcW w:type="dxa" w:w="1584"/>
            <w:tcMar>
              <w:top w:w="140" w:type="dxa"/>
              <w:bottom w:w="140" w:type="dxa"/>
              <w:left w:w="160" w:type="dxa"/>
              <w:right w:w="160" w:type="dxa"/>
            </w:tcMar>
            <w:shd w:fill="FCFAF6"/>
          </w:tcPr>
          <w:p>
            <w:r>
              <w:rPr>
                <w:rFonts w:ascii="Arial" w:hAnsi="Arial"/>
                <w:color w:val="222222"/>
                <w:sz w:val="17"/>
              </w:rPr>
              <w:t>第三方風險</w:t>
            </w:r>
          </w:p>
        </w:tc>
        <w:tc>
          <w:tcPr>
            <w:tcW w:type="dxa" w:w="2592"/>
            <w:tcMar>
              <w:top w:w="140" w:type="dxa"/>
              <w:bottom w:w="140" w:type="dxa"/>
              <w:left w:w="160" w:type="dxa"/>
              <w:right w:w="160" w:type="dxa"/>
            </w:tcMar>
            <w:shd w:fill="FCFAF6"/>
          </w:tcPr>
          <w:p>
            <w:r>
              <w:rPr>
                <w:rFonts w:ascii="Arial" w:hAnsi="Arial"/>
                <w:color w:val="222222"/>
                <w:sz w:val="17"/>
              </w:rPr>
              <w:t>未符事件通報 SLA 與備份條款之關鍵供應商家數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60" w:type="dxa"/>
              <w:right w:w="160" w:type="dxa"/>
            </w:tcMar>
            <w:shd w:fill="FCFAF6"/>
          </w:tcPr>
          <w:p>
            <w:r>
              <w:rPr>
                <w:rFonts w:ascii="Arial" w:hAnsi="Arial"/>
                <w:color w:val="222222"/>
                <w:sz w:val="17"/>
              </w:rPr>
              <w:t>高風險供應商年度複評率</w:t>
            </w:r>
          </w:p>
        </w:tc>
        <w:tc>
          <w:tcPr>
            <w:tcW w:type="dxa" w:w="2304"/>
            <w:tcMar>
              <w:top w:w="140" w:type="dxa"/>
              <w:bottom w:w="140" w:type="dxa"/>
              <w:left w:w="160" w:type="dxa"/>
              <w:right w:w="160" w:type="dxa"/>
            </w:tcMar>
            <w:shd w:fill="FCFAF6"/>
          </w:tcPr>
          <w:p>
            <w:r>
              <w:rPr>
                <w:rFonts w:ascii="Arial" w:hAnsi="Arial"/>
                <w:color w:val="222222"/>
                <w:sz w:val="17"/>
              </w:rPr>
              <w:t>我要求 Tier-1 關鍵供應商 100% 進行年審與合約補強。</w:t>
            </w:r>
          </w:p>
        </w:tc>
      </w:tr>
    </w:tbl>
    <w:p>
      <w:pPr>
        <w:spacing w:after="160"/>
      </w:pPr>
    </w:p>
    <w:p>
      <w:pPr>
        <w:keepNext/>
        <w:spacing w:before="400" w:after="120"/>
      </w:pPr>
      <w:r>
        <w:rPr>
          <w:rFonts w:ascii="Georgia" w:hAnsi="Georgia"/>
          <w:b/>
          <w:color w:val="C5A059"/>
          <w:sz w:val="24"/>
        </w:rPr>
        <w:t xml:space="preserve">◈ </w:t>
      </w:r>
      <w:r>
        <w:rPr>
          <w:rFonts w:ascii="Georgia" w:hAnsi="Georgia"/>
          <w:b/>
          <w:color w:val="141517"/>
          <w:sz w:val="27"/>
        </w:rPr>
        <w:t>七、 決策呈核：我提請董事會與人資團隊核定之事項 (Decisions &amp; Sign-off)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F8F5EE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line="288" w:lineRule="auto"/>
            </w:pPr>
            <w:r>
              <w:rPr>
                <w:rFonts w:ascii="Georgia" w:hAnsi="Georgia"/>
                <w:b/>
                <w:color w:val="C5A059"/>
                <w:sz w:val="20"/>
              </w:rPr>
              <w:t>◆ DECISIONS REQUIRED ｜ 我提請董事會與管理團隊核定事項 ◆</w:t>
              <w:br/>
            </w:r>
            <w:r>
              <w:rPr>
                <w:rFonts w:ascii="Arial" w:hAnsi="Arial"/>
                <w:color w:val="222222"/>
                <w:sz w:val="19"/>
              </w:rPr>
              <w:t>1. 核定事件應變委外專案：授權法務室正式委任第三方頂尖 DFIR 鑑識團隊進駐，保全法律特權與證據鏈。</w:t>
              <w:br/>
              <w:t>2. 確立 CISO 正式遴選時程：由人資長與審計委員會啟動集團資安長正式遴選程序，安排我與總經理及董事會深入交流。</w:t>
              <w:br/>
              <w:t>3. 核定 180 天轉型預算與風險胃納：支持我建立以病患安全、GxP 完整性與研發專利保護為核心之資安投資模型。</w:t>
            </w:r>
          </w:p>
        </w:tc>
      </w:tr>
    </w:tbl>
    <w:p>
      <w:pPr>
        <w:spacing w:after="80"/>
      </w:pPr>
    </w:p>
    <w:p>
      <w:pPr>
        <w:spacing w:after="100" w:line="300" w:lineRule="auto"/>
      </w:pPr>
      <w:r>
        <w:rPr>
          <w:rFonts w:ascii="Georgia" w:hAnsi="Georgia"/>
          <w:b/>
          <w:color w:val="0D5C3A"/>
          <w:sz w:val="19"/>
        </w:rPr>
        <w:t>我的法律與合規聲明：</w:t>
      </w:r>
      <w:r>
        <w:rPr>
          <w:rFonts w:ascii="Arial" w:hAnsi="Arial"/>
          <w:color w:val="222222"/>
          <w:sz w:val="19"/>
        </w:rPr>
        <w:t>本報告是我基於公開資訊、外部威脅情報（OSINT/CTI）及生醫合規常規獨立產出，實際鑑識數據以法務委任之第三方 DFIR 正式報告為準。我旨在為董事會與經營團隊提供最高標準之治理架構參考。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0D5C3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Georgia" w:hAnsi="Georgia"/>
                <w:b/>
                <w:color w:val="C5A059"/>
                <w:sz w:val="18"/>
              </w:rPr>
              <w:t>提案主筆 (我 / CISO Candidate)</w:t>
            </w:r>
          </w:p>
        </w:tc>
        <w:tc>
          <w:tcPr>
            <w:tcW w:type="dxa" w:w="3024"/>
            <w:shd w:fill="0D5C3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Georgia" w:hAnsi="Georgia"/>
                <w:b/>
                <w:color w:val="C5A059"/>
                <w:sz w:val="18"/>
              </w:rPr>
              <w:t>審閱 (CHRO / CEO)</w:t>
            </w:r>
          </w:p>
        </w:tc>
        <w:tc>
          <w:tcPr>
            <w:tcW w:type="dxa" w:w="3024"/>
            <w:shd w:fill="0D5C3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Georgia" w:hAnsi="Georgia"/>
                <w:b/>
                <w:color w:val="C5A059"/>
                <w:sz w:val="18"/>
              </w:rPr>
              <w:t>核定 (Board of Directors)</w:t>
            </w:r>
          </w:p>
        </w:tc>
      </w:tr>
      <w:tr>
        <w:tc>
          <w:tcPr>
            <w:tcW w:type="dxa" w:w="2880"/>
            <w:tcMar>
              <w:top w:w="180" w:type="dxa"/>
              <w:bottom w:w="1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22222"/>
                <w:sz w:val="17"/>
              </w:rPr>
              <w:t>簽名：____________________</w:t>
              <w:br/>
              <w:t>廖倫豪 博士 (Howard Liao, Ph.D.)</w:t>
              <w:br/>
              <w:t>Group CISO 候選人</w:t>
              <w:br/>
              <w:t>日期：2026 年 8 月    日</w:t>
            </w:r>
          </w:p>
        </w:tc>
        <w:tc>
          <w:tcPr>
            <w:tcW w:type="dxa" w:w="3024"/>
            <w:tcMar>
              <w:top w:w="180" w:type="dxa"/>
              <w:bottom w:w="1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22222"/>
                <w:sz w:val="17"/>
              </w:rPr>
              <w:t>簽名：____________________</w:t>
              <w:br/>
              <w:t>藥華醫藥 人資長 / 總經理</w:t>
              <w:br/>
              <w:br/>
              <w:t>日期：2026 年 8 月    日</w:t>
            </w:r>
          </w:p>
        </w:tc>
        <w:tc>
          <w:tcPr>
            <w:tcW w:type="dxa" w:w="3024"/>
            <w:tcMar>
              <w:top w:w="180" w:type="dxa"/>
              <w:bottom w:w="1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22222"/>
                <w:sz w:val="17"/>
              </w:rPr>
              <w:t>簽名：____________________</w:t>
              <w:br/>
              <w:t>董事長 / 審計委員會代表</w:t>
              <w:br/>
              <w:br/>
              <w:t>日期：2026 年 8 月    日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A08250"/>
        <w:sz w:val="16"/>
      </w:rPr>
      <w:t>◆ ── ◈ ── Executive Strategic Governance ｜ NIST CSF 2.0 &amp; GxP Compliance ── ◈ ── 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A08250"/>
        <w:sz w:val="16"/>
      </w:rPr>
      <w:t>PHARMAESSENTIA ｜ ART DECO EXECUTIVE DOSSIER ｜ STRICTLY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