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F172A"/>
          <w:sz w:val="40"/>
        </w:rPr>
        <w:t>藥華醫藥集團（6446）90 天特聘過渡期資安長（Interim CISO）進駐計畫</w:t>
        <w:br/>
        <w:t>暨 董事會 CISO 就任銜接方案建議書</w:t>
      </w:r>
    </w:p>
    <w:p>
      <w:pPr>
        <w:spacing w:after="160"/>
        <w:jc w:val="center"/>
      </w:pPr>
      <w:r>
        <w:rPr>
          <w:b/>
          <w:color w:val="0284C7"/>
          <w:sz w:val="23"/>
        </w:rPr>
        <w:t>Executive Proposal: Interim Group CISO Engagement &amp; Fast-Track Transition Mandate</w:t>
      </w:r>
    </w:p>
    <w:p>
      <w:pPr>
        <w:spacing w:after="240"/>
        <w:jc w:val="center"/>
      </w:pPr>
      <w:r>
        <w:rPr>
          <w:color w:val="334155"/>
          <w:sz w:val="18"/>
        </w:rPr>
        <w:t>文件編號：PE-HR-CISO-202608-PROP ｜ 機密等級：極機密 (Strictly Confidential)</w:t>
        <w:br/>
        <w:t>呈送對象：藥華醫藥 人資長 (CHRO) ｜ 副呈：總經理 (CEO)、董事會審計委員會</w:t>
        <w:br/>
        <w:t>提案人：廖倫豪 博士 (Howard Liao, Ph.D.) ｜ 日期：2026 年 8 月</w:t>
      </w:r>
    </w:p>
    <w:p>
      <w:pPr>
        <w:spacing w:after="28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一、 合作願景與戰略定位 (Strategic Positioning &amp; Mandate)</w:t>
      </w:r>
    </w:p>
    <w:p>
      <w:pPr>
        <w:spacing w:after="80" w:line="276" w:lineRule="auto"/>
      </w:pPr>
      <w:r>
        <w:rPr>
          <w:color w:val="334155"/>
          <w:sz w:val="19"/>
        </w:rPr>
        <w:t>感謝 人資長 的邀請與肯定。藥華醫藥（TWSE: 6446）作為台灣新藥研發進軍全球市場的旗艦企業，旗下主力新藥 Besremi®（P1101）已跨足美、歐、日、台等多國商業化版圖。面對當前遭遇之國際勒索軟體組織（TheGentlemen）滲透、暗網洩密施壓及子公司邊界風險，建立一套具備國際韌性、GxP 合規與資本市場信任的資安治理體系，為當前最關鍵的戰略任務。</w:t>
      </w:r>
    </w:p>
    <w:p>
      <w:pPr>
        <w:spacing w:after="80" w:line="276" w:lineRule="auto"/>
      </w:pPr>
      <w:r>
        <w:rPr>
          <w:color w:val="334155"/>
          <w:sz w:val="19"/>
        </w:rPr>
        <w:t>針對您所提議『先以 90 天顧問模式協助處置問題、梳理維運，並同步向董事會推薦正式 CISO 候選人』之規劃，本人高度認同以清晰的里程碑（Milestones）驗證治理成效。為確保本階段能真正發揮即戰力、阻斷二次攻擊，並符合上市櫃監理與審計委員會之獨立性要求，本提案將合作定位升級為【特聘過渡期資安長 暨 戰略顧問（Interim Group CISO &amp; Executive Advisor）】。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【90 天進駐計畫 四大核心原則】</w:t>
              <w:br/>
            </w:r>
            <w:r>
              <w:rPr>
                <w:color w:val="334155"/>
                <w:sz w:val="18"/>
              </w:rPr>
              <w:t>1. 直報層級與實質授權：直接對 總經理（CEO）及 董事會審計委員會 負責，獲授權調配技術團隊（網路、架構、SecOps、MIS）並與獨立控制職能（QA/CSV/DPO/法務）無縫協同。</w:t>
              <w:br/>
              <w:t>2. 成果導向攻堅（90 Days Deliverables）：聚焦『事件結案、三大結構性漏洞加固、董事會兵推』，交付具體可稽核之治理成果。</w:t>
              <w:br/>
              <w:t>3. 無縫轉正機制（Fast-Track Transition）：設定明確之階段檢核門檻，經審計委員會審核通過後，直接啟動正式 Group CISO 聘任程序，確保長期戰略的一致性。</w:t>
              <w:br/>
              <w:t>4. 法律特權與責任保障：簽署高階 Executive Advisory 合約，建立標準責任豁免（Hold Harmless）並納入 D&amp;O 董監事及經理人責任險保護。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二、 90 天分階段攻堅計畫與核心交付成果 (90-Day Tactical Milestones)</w:t>
      </w:r>
    </w:p>
    <w:p>
      <w:pPr>
        <w:spacing w:after="80" w:line="276" w:lineRule="auto"/>
      </w:pPr>
      <w:r>
        <w:rPr>
          <w:color w:val="334155"/>
          <w:sz w:val="19"/>
        </w:rPr>
        <w:t>依循 NIST CSF 2.0 與 GxP 合規標準，規劃 90 天三階段攻堅行動，確保每 30 天均有重大實質進展交付董事會：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階段週期</w:t>
            </w:r>
          </w:p>
        </w:tc>
        <w:tc>
          <w:tcPr>
            <w:tcW w:type="dxa" w:w="187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戰略主軸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重點推進行動 (Key Initiatives)</w:t>
            </w:r>
          </w:p>
        </w:tc>
        <w:tc>
          <w:tcPr>
            <w:tcW w:type="dxa" w:w="273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核心交付成果 (Deliverables)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第 1–30 天</w:t>
              <w:br/>
              <w:t>(止血與收斂)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事件結案</w:t>
              <w:br/>
              <w:t>邊界清查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• 主導對接外部 DFIR，出具全鏈路鑑識結案報告。</w:t>
              <w:br/>
              <w:t>• 切斷與清查『泛泰醫療』等子公司跨網信任邊界。</w:t>
              <w:br/>
              <w:t>• 完成離線不可變備份（WORM）健康度與還原審計。</w:t>
              <w:br/>
              <w:t>• 頒布集團 SEV-1 戰時應變標準作業程序（SOP）。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• 《事件鑑識結案報告 (RCA)》</w:t>
              <w:br/>
              <w:t>• 《子公司跨網隔離狀態表》</w:t>
              <w:br/>
              <w:t>• 《不可變備份健康審計報告》</w:t>
              <w:br/>
              <w:t>• 《SEV-1 戰時應變手冊》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第 31–60 天</w:t>
              <w:br/>
              <w:t>(防護與加固)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王冠資產</w:t>
              <w:br/>
              <w:t>身分零信任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• 盤點 Besremi 專利 CMC 與臨床試驗數據加密狀態。</w:t>
              <w:br/>
              <w:t>• 啟動全域特權帳號 FIDO2 抗釣魚 MFA 試行導入。</w:t>
              <w:br/>
              <w:t>• 全域郵件網域實施 DMARC 監控並建立下架機制。</w:t>
              <w:br/>
              <w:t>• 梳理台中 GMP 製造產線 SCADA/PLC 實體隔離性。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• 《Crown Jewels 防護盤點表》</w:t>
              <w:br/>
              <w:t>• 《特權身分零信任導入計畫》</w:t>
              <w:br/>
              <w:t>• 《DMARC 推進路線圖》</w:t>
              <w:br/>
              <w:t>• 《台中廠 OT 隔離檢核清冊》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第 61–90 天</w:t>
              <w:br/>
              <w:t>(治理與常態)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董事會兵推</w:t>
              <w:br/>
              <w:t>轉正藍圖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• 主導 1 次董事會與高階主管重大資安兵推（Tabletop）。</w:t>
              <w:br/>
              <w:t>• 完成 1 個勒索與 1 個 BEC 攻防演練與檢討。</w:t>
              <w:br/>
              <w:t>• 對齊 ISO 27001 與 ISO 42001（AI 治理）管理規範。</w:t>
              <w:br/>
              <w:t>• 產出集團 180 天轉型藍圖與多雲資安投資模型。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• 《董事會資安兵推總結報告》</w:t>
              <w:br/>
              <w:t>• 《ISO 27001/42001 差距分析》</w:t>
              <w:br/>
              <w:t>• 《集團 180 天資安轉型藍圖》</w:t>
              <w:br/>
              <w:t>• 《資安投資組合預算模型》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三、 跨職能授權與協同運作機制 (Governance &amp; RACI)</w:t>
      </w:r>
    </w:p>
    <w:p>
      <w:pPr>
        <w:spacing w:after="80" w:line="276" w:lineRule="auto"/>
      </w:pPr>
      <w:r>
        <w:rPr>
          <w:color w:val="334155"/>
          <w:sz w:val="19"/>
        </w:rPr>
        <w:t>為避免『有責無權』導致策略無法落地，過渡期資安長在 90 天內的權責架構明確如下：</w:t>
      </w:r>
    </w:p>
    <w:p>
      <w:pPr>
        <w:spacing w:after="80" w:line="276" w:lineRule="auto"/>
      </w:pPr>
      <w:r>
        <w:rPr>
          <w:b/>
          <w:color w:val="0F172A"/>
          <w:sz w:val="19"/>
        </w:rPr>
        <w:t>1. 技術調配權：</w:t>
      </w:r>
      <w:r>
        <w:rPr>
          <w:color w:val="334155"/>
          <w:sz w:val="19"/>
        </w:rPr>
        <w:t>• 線代指揮權限（Line Direction）：授權指揮與調配 IT 網路組、基礎架構組、資安監控（SOC）及 MIS 應用組之資安整改工作，下達技術防禦指令。</w:t>
      </w:r>
    </w:p>
    <w:p>
      <w:pPr>
        <w:spacing w:after="80" w:line="276" w:lineRule="auto"/>
      </w:pPr>
      <w:r>
        <w:rPr>
          <w:b/>
          <w:color w:val="0F172A"/>
          <w:sz w:val="19"/>
        </w:rPr>
        <w:t>2. GxP 協同權：</w:t>
      </w:r>
      <w:r>
        <w:rPr>
          <w:color w:val="334155"/>
          <w:sz w:val="19"/>
        </w:rPr>
        <w:t>• 獨立品質協同（GxP Collaboration）：與 QA 品質保證主管、CSV 確效專員建立橫向聯防，所有涉及 GxP/LIMS/MES 之系統變更均嚴格依循 Change Control 共同簽核，確保品質獨立性。</w:t>
      </w:r>
    </w:p>
    <w:p>
      <w:pPr>
        <w:spacing w:after="80" w:line="276" w:lineRule="auto"/>
      </w:pPr>
      <w:r>
        <w:rPr>
          <w:b/>
          <w:color w:val="0F172A"/>
          <w:sz w:val="19"/>
        </w:rPr>
        <w:t>3. 治理報告權：</w:t>
      </w:r>
      <w:r>
        <w:rPr>
          <w:color w:val="334155"/>
          <w:sz w:val="19"/>
        </w:rPr>
        <w:t>• 董事會直報機制（Board Reporting）：每兩週向 總經理 及 審計委員會 出具一頁式戰時情報簡報（SITREP），維持治理透明度。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四、 轉正銜接機制與績效檢核標準 (Fast-Track Transition Mechanism)</w:t>
      </w:r>
    </w:p>
    <w:p>
      <w:pPr>
        <w:spacing w:after="80" w:line="276" w:lineRule="auto"/>
      </w:pPr>
      <w:r>
        <w:rPr>
          <w:color w:val="334155"/>
          <w:sz w:val="19"/>
        </w:rPr>
        <w:t>本計畫旨在為藥華醫藥建立長期穩定的資安領導體系。建議於合約中約定清晰之轉正銜接條款：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檢核維度</w:t>
            </w:r>
          </w:p>
        </w:tc>
        <w:tc>
          <w:tcPr>
            <w:tcW w:type="dxa" w:w="388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90 天驗收指標 (Success Criteria)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轉正銜接決策 (Conversion Trigger)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危機處置與收斂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TheGentlemen 威脅完全收斂、子公司跨網邊界完成微隔離、不可變備份通過驗證。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經審計委員會審查確認風險受控。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架構加固與零信任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核心專利 CMC/臨床數據完成加密盤點、特權帳號 FIDO2 MFA 試行上線、DMARC 推進。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符合集團法規遵循與上市櫃監理要求。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董事會治理與演練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完成 1 次董事會資安兵推，產出 180 天轉型藍圖與預算模型。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董事會核定中長期資安治理藍圖。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正式聘任啟動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滿足上述三項指標後，於第 75 天啟動正式 Group CISO / VP of Tech 聘任程序。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於第 90 天期滿前完成董事會任命。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五、 聘任條款、責任豁免與法律保障 (Executive Terms &amp; Legal Protection)</w:t>
      </w:r>
    </w:p>
    <w:p>
      <w:pPr>
        <w:spacing w:after="80" w:line="276" w:lineRule="auto"/>
      </w:pPr>
      <w:r>
        <w:rPr>
          <w:color w:val="334155"/>
          <w:sz w:val="19"/>
        </w:rPr>
        <w:t>為保障雙方權益並符合國際高階主管聘任常規，合約建議包含以下條款：</w:t>
      </w:r>
    </w:p>
    <w:p>
      <w:pPr>
        <w:spacing w:after="80" w:line="276" w:lineRule="auto"/>
      </w:pPr>
      <w:r>
        <w:rPr>
          <w:b/>
          <w:color w:val="0F172A"/>
          <w:sz w:val="19"/>
        </w:rPr>
        <w:t>1. 報酬架構：</w:t>
      </w:r>
      <w:r>
        <w:rPr>
          <w:color w:val="334155"/>
          <w:sz w:val="19"/>
        </w:rPr>
        <w:t>• 專業服務報酬（Retainer Fee）：依國際 Interim CISO 標準議定每月專業諮詢顧問報酬（Monthly Retainer），期滿轉正時銜接正式高階主管 Package。</w:t>
      </w:r>
    </w:p>
    <w:p>
      <w:pPr>
        <w:spacing w:after="80" w:line="276" w:lineRule="auto"/>
      </w:pPr>
      <w:r>
        <w:rPr>
          <w:b/>
          <w:color w:val="0F172A"/>
          <w:sz w:val="19"/>
        </w:rPr>
        <w:t>2. 責任限制：</w:t>
      </w:r>
      <w:r>
        <w:rPr>
          <w:color w:val="334155"/>
          <w:sz w:val="19"/>
        </w:rPr>
        <w:t>• 歷史責任豁免（Hold Harmless）：明訂本人就任前已發生之歷史資安事件（含 2026 年 8 月初事件）不承擔個人法律連帶責任，歷史事件之司法與鑑識調查由外部 DFIR 與法務室統籌。</w:t>
      </w:r>
    </w:p>
    <w:p>
      <w:pPr>
        <w:spacing w:after="80" w:line="276" w:lineRule="auto"/>
      </w:pPr>
      <w:r>
        <w:rPr>
          <w:b/>
          <w:color w:val="0F172A"/>
          <w:sz w:val="19"/>
        </w:rPr>
        <w:t>3. 保險保障：</w:t>
      </w:r>
      <w:r>
        <w:rPr>
          <w:color w:val="334155"/>
          <w:sz w:val="19"/>
        </w:rPr>
        <w:t>• 董監事及經理人責任險（D&amp;O Coverage）：進駐期間將過渡期資安長角色正式納入藥華醫藥既有之 D&amp;O 保險與資安責任險涵蓋範疇。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六、 結論與下一階段行動 (Conclusion &amp; Next Steps)</w:t>
      </w:r>
    </w:p>
    <w:p>
      <w:pPr>
        <w:spacing w:after="80" w:line="276" w:lineRule="auto"/>
      </w:pPr>
      <w:r>
        <w:rPr>
          <w:color w:val="334155"/>
          <w:sz w:val="19"/>
        </w:rPr>
        <w:t>本方案兼顧了藥華醫藥當前緊急止血之即戰力需求，與董事會中長期選拔全球資安長之嚴謹治理考量。若上述架構符合 人資長 與 總經理 之戰略方向，建議安排於本週進行 30 分鐘高階會談，確認合約細節與正式進駐時程，攜手守護藥華醫藥之全球生醫版圖。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提案人 (CISO Candidate)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審閱 (Chief Human Resources Officer)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核定 (CEO / Audit Committee)</w:t>
            </w:r>
          </w:p>
        </w:tc>
      </w:tr>
      <w:tr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廖倫豪 博士 (Howard Liao, Ph.D.)</w:t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藥華醫藥 人資長 (CHRO)</w:t>
              <w:br/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總經理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― Confidential ｜ Prepared for CHRO &amp; Executive Committee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藥華醫藥（6446）90 天過渡期資安長進駐計畫 暨 轉正銜接建議書 ｜ 機密文件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