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b/>
          <w:color w:val="0F172A"/>
          <w:sz w:val="38"/>
        </w:rPr>
        <w:t>關於藥華醫藥集團資安應變專案委外處置</w:t>
        <w:br/>
        <w:t>暨 集團資安長（Group CISO）遴選程序之專業建議函</w:t>
      </w:r>
    </w:p>
    <w:p>
      <w:pPr>
        <w:spacing w:after="160"/>
        <w:jc w:val="center"/>
      </w:pPr>
      <w:r>
        <w:rPr>
          <w:b/>
          <w:color w:val="0284C7"/>
          <w:sz w:val="23"/>
        </w:rPr>
        <w:t>Strategic Governance Memo: Parallel Incident Response &amp; Formal CISO Selection</w:t>
      </w:r>
    </w:p>
    <w:p>
      <w:pPr>
        <w:spacing w:after="240"/>
        <w:jc w:val="center"/>
      </w:pPr>
      <w:r>
        <w:rPr>
          <w:color w:val="334155"/>
          <w:sz w:val="18"/>
        </w:rPr>
        <w:t>文件編號：PE-HR-CISO-202608-RESP ｜ 機密等級：極機密 (Confidential)</w:t>
        <w:br/>
        <w:t>呈送對象：藥華醫藥股份有限公司 人資長 (CHRO) ｜ 副呈：總經理 (CEO)、董事會審計委員會</w:t>
        <w:br/>
        <w:t>提案人：廖倫豪 博士 (Howard Liao, Ph.D.) ｜ 日期：2026 年 8 月</w:t>
      </w:r>
    </w:p>
    <w:p>
      <w:pPr>
        <w:spacing w:after="280"/>
        <w:jc w:val="center"/>
      </w:pPr>
      <w:r>
        <w:rPr>
          <w:color w:val="0284C7"/>
        </w:rPr>
        <w:t>――――――――――――――――――――――――――――――――――――――――――――――――――</w:t>
      </w:r>
    </w:p>
    <w:p>
      <w:pPr>
        <w:keepNext/>
        <w:spacing w:before="320" w:after="120"/>
      </w:pPr>
      <w:r>
        <w:rPr>
          <w:b/>
          <w:color w:val="0F172A"/>
          <w:sz w:val="26"/>
        </w:rPr>
        <w:t>一、 承前說明與治理原則 (Executive Premise &amp; Governance Position)</w:t>
      </w:r>
    </w:p>
    <w:p>
      <w:pPr>
        <w:spacing w:after="80" w:line="276" w:lineRule="auto"/>
      </w:pPr>
      <w:r>
        <w:rPr>
          <w:color w:val="334155"/>
          <w:sz w:val="19"/>
        </w:rPr>
        <w:t>感謝 人資長 說明藥華醫藥董事會與審計委員會在選任集團資安長（Group CISO）時，需要安排多位優秀候選人進行客觀評選與正式遴選程序。本人完全理解，並十分尊重公司遵循上市櫃公司治理常規所必須完成的審慎評選流程。</w:t>
      </w:r>
    </w:p>
    <w:p>
      <w:pPr>
        <w:spacing w:after="80" w:line="276" w:lineRule="auto"/>
      </w:pPr>
      <w:r>
        <w:rPr>
          <w:color w:val="334155"/>
          <w:sz w:val="19"/>
        </w:rPr>
        <w:t>針對藥華醫藥當前遭遇之國際勒索軟體組織威脅，以及長遠全球化營運之數位韌性需求，從上市公司內部控制、風險管理及法律責任邊界的專業角度出發，本人具體建議將【近期事件之技術處置】與【長期資安長職務之選任】採【雙軌平行（Parallel Processing）】機制推展。</w:t>
      </w:r>
    </w:p>
    <w:p>
      <w:pPr>
        <w:keepNext/>
        <w:spacing w:before="320" w:after="120"/>
      </w:pPr>
      <w:r>
        <w:rPr>
          <w:b/>
          <w:color w:val="0F172A"/>
          <w:sz w:val="26"/>
        </w:rPr>
        <w:t>二、 雙軌平行推進機制 (Two-Track Parallel Execution Framework)</w:t>
      </w:r>
    </w:p>
    <w:tbl>
      <w:tblPr>
        <w:tblW w:type="auto" w:w="0"/>
        <w:jc w:val="center"/>
        <w:tblLook w:firstColumn="1" w:firstRow="1" w:lastColumn="0" w:lastRow="0" w:noHBand="0" w:noVBand="1" w:val="04A0"/>
      </w:tblPr>
      <w:tblGrid>
        <w:gridCol w:w="3120"/>
        <w:gridCol w:w="3120"/>
        <w:gridCol w:w="3120"/>
      </w:tblGrid>
      <w:tr>
        <w:tc>
          <w:tcPr>
            <w:tcW w:type="dxa" w:w="2160"/>
            <w:shd w:fill="0F172A"/>
            <w:tcMar>
              <w:top w:w="140" w:type="dxa"/>
              <w:bottom w:w="140" w:type="dxa"/>
              <w:left w:w="160" w:type="dxa"/>
              <w:right w:w="160" w:type="dxa"/>
            </w:tcMar>
          </w:tcPr>
          <w:p>
            <w:pPr>
              <w:jc w:val="center"/>
            </w:pPr>
            <w:r>
              <w:rPr>
                <w:b/>
                <w:color w:val="FFFFFF"/>
                <w:sz w:val="19"/>
              </w:rPr>
              <w:t>推進軌道</w:t>
            </w:r>
          </w:p>
        </w:tc>
        <w:tc>
          <w:tcPr>
            <w:tcW w:type="dxa" w:w="3888"/>
            <w:shd w:fill="0F172A"/>
            <w:tcMar>
              <w:top w:w="140" w:type="dxa"/>
              <w:bottom w:w="140" w:type="dxa"/>
              <w:left w:w="160" w:type="dxa"/>
              <w:right w:w="160" w:type="dxa"/>
            </w:tcMar>
          </w:tcPr>
          <w:p>
            <w:pPr>
              <w:jc w:val="center"/>
            </w:pPr>
            <w:r>
              <w:rPr>
                <w:b/>
                <w:color w:val="FFFFFF"/>
                <w:sz w:val="19"/>
              </w:rPr>
              <w:t>作業範疇與執行模式</w:t>
            </w:r>
          </w:p>
        </w:tc>
        <w:tc>
          <w:tcPr>
            <w:tcW w:type="dxa" w:w="3312"/>
            <w:shd w:fill="0F172A"/>
            <w:tcMar>
              <w:top w:w="140" w:type="dxa"/>
              <w:bottom w:w="140" w:type="dxa"/>
              <w:left w:w="160" w:type="dxa"/>
              <w:right w:w="160" w:type="dxa"/>
            </w:tcMar>
          </w:tcPr>
          <w:p>
            <w:pPr>
              <w:jc w:val="center"/>
            </w:pPr>
            <w:r>
              <w:rPr>
                <w:b/>
                <w:color w:val="FFFFFF"/>
                <w:sz w:val="19"/>
              </w:rPr>
              <w:t>治理目標與預期效益</w:t>
            </w:r>
          </w:p>
        </w:tc>
      </w:tr>
      <w:tr>
        <w:tc>
          <w:tcPr>
            <w:tcW w:type="dxa" w:w="2160"/>
            <w:tcMar>
              <w:top w:w="140" w:type="dxa"/>
              <w:bottom w:w="140" w:type="dxa"/>
              <w:left w:w="160" w:type="dxa"/>
              <w:right w:w="160" w:type="dxa"/>
            </w:tcMar>
          </w:tcPr>
          <w:p>
            <w:r>
              <w:rPr>
                <w:color w:val="334155"/>
                <w:sz w:val="17"/>
              </w:rPr>
              <w:t>軌道一：</w:t>
              <w:br/>
              <w:t>近期事件應變</w:t>
              <w:br/>
              <w:t>(DFIR 專案委外)</w:t>
            </w:r>
          </w:p>
        </w:tc>
        <w:tc>
          <w:tcPr>
            <w:tcW w:type="dxa" w:w="3888"/>
            <w:tcMar>
              <w:top w:w="140" w:type="dxa"/>
              <w:bottom w:w="140" w:type="dxa"/>
              <w:left w:w="160" w:type="dxa"/>
              <w:right w:w="160" w:type="dxa"/>
            </w:tcMar>
          </w:tcPr>
          <w:p>
            <w:r>
              <w:rPr>
                <w:color w:val="334155"/>
                <w:sz w:val="17"/>
              </w:rPr>
              <w:t>當前事件之數位鑑識（DFIR）、影響範圍清查、系統受控復原及短期防護補強，由公司外部法務顧問正式委由具備事件應變能力的專業資安公司以【專案（Project-based）】方式處理。</w:t>
            </w:r>
          </w:p>
        </w:tc>
        <w:tc>
          <w:tcPr>
            <w:tcW w:type="dxa" w:w="3312"/>
            <w:tcMar>
              <w:top w:w="140" w:type="dxa"/>
              <w:bottom w:w="140" w:type="dxa"/>
              <w:left w:w="160" w:type="dxa"/>
              <w:right w:w="160" w:type="dxa"/>
            </w:tcMar>
          </w:tcPr>
          <w:p>
            <w:r>
              <w:rPr>
                <w:color w:val="334155"/>
                <w:sz w:val="17"/>
              </w:rPr>
              <w:t>1. 立即獲取國際級鑑識技術量能與工具。</w:t>
              <w:br/>
              <w:t>2. 確保調查過程享有律師保密特權（Attorney-Client Privilege）。</w:t>
              <w:br/>
              <w:t>3. 快速完成監管通報與證據鏈保全。</w:t>
            </w:r>
          </w:p>
        </w:tc>
      </w:tr>
      <w:tr>
        <w:tc>
          <w:tcPr>
            <w:tcW w:type="dxa" w:w="2160"/>
            <w:tcMar>
              <w:top w:w="140" w:type="dxa"/>
              <w:bottom w:w="140" w:type="dxa"/>
              <w:left w:w="160" w:type="dxa"/>
              <w:right w:w="160" w:type="dxa"/>
            </w:tcMar>
            <w:shd w:fill="F8FAFC"/>
          </w:tcPr>
          <w:p>
            <w:r>
              <w:rPr>
                <w:color w:val="334155"/>
                <w:sz w:val="17"/>
              </w:rPr>
              <w:t>軌道二：</w:t>
              <w:br/>
              <w:t>集團資安長遴選</w:t>
              <w:br/>
              <w:t>(正式法規程序)</w:t>
            </w:r>
          </w:p>
        </w:tc>
        <w:tc>
          <w:tcPr>
            <w:tcW w:type="dxa" w:w="3888"/>
            <w:tcMar>
              <w:top w:w="140" w:type="dxa"/>
              <w:bottom w:w="140" w:type="dxa"/>
              <w:left w:w="160" w:type="dxa"/>
              <w:right w:w="160" w:type="dxa"/>
            </w:tcMar>
            <w:shd w:fill="F8FAFC"/>
          </w:tcPr>
          <w:p>
            <w:r>
              <w:rPr>
                <w:color w:val="334155"/>
                <w:sz w:val="17"/>
              </w:rPr>
              <w:t>資安長職務獨立依循人資與審計委員會正式程序，公開或委由高階獵才機構進行多位候選人之專業比較、背景審查與董事會面試核定。</w:t>
            </w:r>
          </w:p>
        </w:tc>
        <w:tc>
          <w:tcPr>
            <w:tcW w:type="dxa" w:w="3312"/>
            <w:tcMar>
              <w:top w:w="140" w:type="dxa"/>
              <w:bottom w:w="140" w:type="dxa"/>
              <w:left w:w="160" w:type="dxa"/>
              <w:right w:w="160" w:type="dxa"/>
            </w:tcMar>
            <w:shd w:fill="F8FAFC"/>
          </w:tcPr>
          <w:p>
            <w:r>
              <w:rPr>
                <w:color w:val="334155"/>
                <w:sz w:val="17"/>
              </w:rPr>
              <w:t>1. 審慎評選具備 GxP 與全球治理經驗之領袖。</w:t>
              <w:br/>
              <w:t>2. 避免候選人於未任聘前承擔不對等法律責任。</w:t>
              <w:br/>
              <w:t>3. 確立清晰之經理人法定授權與匯報線。</w:t>
            </w:r>
          </w:p>
        </w:tc>
      </w:tr>
    </w:tbl>
    <w:p>
      <w:pPr>
        <w:spacing w:after="120"/>
      </w:pPr>
    </w:p>
    <w:p>
      <w:pPr>
        <w:keepNext/>
        <w:spacing w:before="320" w:after="120"/>
      </w:pPr>
      <w:r>
        <w:rPr>
          <w:b/>
          <w:color w:val="0F172A"/>
          <w:sz w:val="26"/>
        </w:rPr>
        <w:t>三、 內控治理界線與利益衝突防範剖析 (Governance &amp; Conflict of Interest)</w:t>
      </w:r>
    </w:p>
    <w:p>
      <w:pPr>
        <w:spacing w:after="80" w:line="276" w:lineRule="auto"/>
      </w:pPr>
      <w:r>
        <w:rPr>
          <w:color w:val="334155"/>
          <w:sz w:val="19"/>
        </w:rPr>
        <w:t>資安事件的『技術處置』與資安長的『長期治理任命』雖然緊密相關，但本質與法定責任完全不同：</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Pr>
          <w:p>
            <w:pPr>
              <w:spacing w:line="276" w:lineRule="auto"/>
            </w:pPr>
            <w:r>
              <w:rPr>
                <w:b/>
                <w:color w:val="0F172A"/>
                <w:sz w:val="19"/>
              </w:rPr>
              <w:t>【專業考量：為何不宜由候選人以顧問形式先行進場？】</w:t>
              <w:br/>
            </w:r>
            <w:r>
              <w:rPr>
                <w:color w:val="334155"/>
                <w:sz w:val="18"/>
              </w:rPr>
              <w:t>1. 避免利益衝突（Conflict of Interest）：若將資安長候選人先行以顧問方式安排進場，其在評估歷史事件責任、審查內部團隊疏失、選拔防護產品或指定外部廠商時，容易在『供應商決策』與『自身評選利益』間產生角色重疊與治理觀感上的重大疑慮。</w:t>
              <w:br/>
              <w:t>2. 確立權責對等與法律保護（Liability Insulation）：外部顧問缺乏上市公司經理人之法定代理權與指揮線，在面對主管機關調查或訴訟時，容易陷入『承擔實質管理責任卻缺乏法定保護』的不對等風險。</w:t>
              <w:br/>
              <w:t>3. 確保鑑識客觀性與證據鏈（Chain of Custody）：由外部獨立 DFIR 專案處理，產出之鑑識報告更具法律公信力，能有效保護董事會與審計委員會免受監管挑戰。</w:t>
            </w:r>
          </w:p>
        </w:tc>
      </w:tr>
    </w:tbl>
    <w:p>
      <w:pPr>
        <w:spacing w:after="80"/>
      </w:pPr>
    </w:p>
    <w:p>
      <w:pPr>
        <w:keepNext/>
        <w:spacing w:before="320" w:after="120"/>
      </w:pPr>
      <w:r>
        <w:rPr>
          <w:b/>
          <w:color w:val="0F172A"/>
          <w:sz w:val="26"/>
        </w:rPr>
        <w:t>四、 參與正式遴選之準備與承諾 (Formal Candidacy &amp; Strategic Readiness)</w:t>
      </w:r>
    </w:p>
    <w:p>
      <w:pPr>
        <w:spacing w:after="80" w:line="276" w:lineRule="auto"/>
      </w:pPr>
      <w:r>
        <w:rPr>
          <w:color w:val="334155"/>
          <w:sz w:val="19"/>
        </w:rPr>
        <w:t>本人非常樂意且尊重依循藥華醫藥之正式程序參與集團資安長（Group CISO）職位之評選。針對藥華醫藥未來的全球資安藍圖，本人已完成完整的治理與技術架構準備，期待於後續董事會面談中深入呈報：</w:t>
      </w:r>
    </w:p>
    <w:p>
      <w:pPr>
        <w:spacing w:after="80" w:line="276" w:lineRule="auto"/>
      </w:pPr>
      <w:r>
        <w:rPr>
          <w:color w:val="334155"/>
          <w:sz w:val="19"/>
        </w:rPr>
        <w:t>• 戰略藍圖準備：已完備基於 NIST CSF 2.0 與 GxP 合規之《180 天就任執行戰略計劃書》，精準涵蓋台中製造廠 OT 隔離、Besremi 專利 CMC 加密及子公司泛泰醫療邊界收斂。</w:t>
        <w:br/>
        <w:t>• 董事會治理模型：建立標準化《一頁式戰時情資儀表板（SITREP）》與雙軌 KRI/KPI 監控機制，確保技術指標與商業價值對齊。</w:t>
        <w:br/>
        <w:t>• 實務實戰經驗：具備 20+ 年高階技術管理、跨國多雲架構（GCP/AWS/Azure）、零信任架構及 ISO 27001 / ISO 42001 主導稽核員實質經驗。</w:t>
      </w:r>
    </w:p>
    <w:p>
      <w:pPr>
        <w:keepNext/>
        <w:spacing w:before="320" w:after="120"/>
      </w:pPr>
      <w:r>
        <w:rPr>
          <w:b/>
          <w:color w:val="0F172A"/>
          <w:sz w:val="26"/>
        </w:rPr>
        <w:t>五、 結論與後續溝通 (Conclusion &amp; Contact)</w:t>
      </w:r>
    </w:p>
    <w:p>
      <w:pPr>
        <w:spacing w:after="80" w:line="276" w:lineRule="auto"/>
      </w:pPr>
      <w:r>
        <w:rPr>
          <w:color w:val="334155"/>
          <w:sz w:val="19"/>
        </w:rPr>
        <w:t>由第三方專業資安公司承接技術應變，本人則以獨立候選人身分參與正式遴選，對藥華醫藥、審計委員會及全體候選人而言都是最公平、最透明且最合規的安排。本人隨時配合人資長與獵才顧問之安排，期待進一步了解職務定位、匯報架構及預定遴選時程。</w:t>
      </w:r>
    </w:p>
    <w:tbl>
      <w:tblPr>
        <w:tblW w:type="auto" w:w="0"/>
        <w:jc w:val="center"/>
        <w:tblLook w:firstColumn="1" w:firstRow="1" w:lastColumn="0" w:lastRow="0" w:noHBand="0" w:noVBand="1" w:val="04A0"/>
      </w:tblPr>
      <w:tblGrid>
        <w:gridCol w:w="3120"/>
        <w:gridCol w:w="3120"/>
        <w:gridCol w:w="3120"/>
      </w:tblGrid>
      <w:tr>
        <w:tc>
          <w:tcPr>
            <w:tcW w:type="dxa" w:w="3024"/>
            <w:shd w:fill="0F172A"/>
            <w:tcMar>
              <w:top w:w="140" w:type="dxa"/>
              <w:bottom w:w="140" w:type="dxa"/>
              <w:left w:w="160" w:type="dxa"/>
              <w:right w:w="160" w:type="dxa"/>
            </w:tcMar>
          </w:tcPr>
          <w:p>
            <w:pPr>
              <w:jc w:val="center"/>
            </w:pPr>
            <w:r>
              <w:rPr>
                <w:b/>
                <w:color w:val="FFFFFF"/>
                <w:sz w:val="19"/>
              </w:rPr>
              <w:t>提案人 (CISO Candidate)</w:t>
            </w:r>
          </w:p>
        </w:tc>
        <w:tc>
          <w:tcPr>
            <w:tcW w:type="dxa" w:w="3168"/>
            <w:shd w:fill="0F172A"/>
            <w:tcMar>
              <w:top w:w="140" w:type="dxa"/>
              <w:bottom w:w="140" w:type="dxa"/>
              <w:left w:w="160" w:type="dxa"/>
              <w:right w:w="160" w:type="dxa"/>
            </w:tcMar>
          </w:tcPr>
          <w:p>
            <w:pPr>
              <w:jc w:val="center"/>
            </w:pPr>
            <w:r>
              <w:rPr>
                <w:b/>
                <w:color w:val="FFFFFF"/>
                <w:sz w:val="19"/>
              </w:rPr>
              <w:t>收文審閱 (CHRO)</w:t>
            </w:r>
          </w:p>
        </w:tc>
        <w:tc>
          <w:tcPr>
            <w:tcW w:type="dxa" w:w="3168"/>
            <w:shd w:fill="0F172A"/>
            <w:tcMar>
              <w:top w:w="140" w:type="dxa"/>
              <w:bottom w:w="140" w:type="dxa"/>
              <w:left w:w="160" w:type="dxa"/>
              <w:right w:w="160" w:type="dxa"/>
            </w:tcMar>
          </w:tcPr>
          <w:p>
            <w:pPr>
              <w:jc w:val="center"/>
            </w:pPr>
            <w:r>
              <w:rPr>
                <w:b/>
                <w:color w:val="FFFFFF"/>
                <w:sz w:val="19"/>
              </w:rPr>
              <w:t>呈核 (CEO / Audit Committee)</w:t>
            </w:r>
          </w:p>
        </w:tc>
      </w:tr>
      <w:tr>
        <w:tc>
          <w:tcPr>
            <w:tcW w:type="dxa" w:w="3024"/>
            <w:tcMar>
              <w:top w:w="180" w:type="dxa"/>
              <w:bottom w:w="180" w:type="dxa"/>
              <w:left w:w="150" w:type="dxa"/>
              <w:right w:w="150" w:type="dxa"/>
            </w:tcMar>
          </w:tcPr>
          <w:p>
            <w:r>
              <w:rPr>
                <w:color w:val="334155"/>
                <w:sz w:val="18"/>
              </w:rPr>
              <w:t>簽名：____________________</w:t>
              <w:br/>
              <w:t>廖倫豪 博士 (Howard Liao, Ph.D.)</w:t>
              <w:br/>
              <w:t>日期：2026 年 8 月    日</w:t>
            </w:r>
          </w:p>
        </w:tc>
        <w:tc>
          <w:tcPr>
            <w:tcW w:type="dxa" w:w="3168"/>
            <w:tcMar>
              <w:top w:w="180" w:type="dxa"/>
              <w:bottom w:w="180" w:type="dxa"/>
              <w:left w:w="150" w:type="dxa"/>
              <w:right w:w="150" w:type="dxa"/>
            </w:tcMar>
          </w:tcPr>
          <w:p>
            <w:r>
              <w:rPr>
                <w:color w:val="334155"/>
                <w:sz w:val="18"/>
              </w:rPr>
              <w:t>簽名：____________________</w:t>
              <w:br/>
              <w:t>藥華醫藥 人資長 (CHRO)</w:t>
              <w:br/>
              <w:br/>
              <w:t>日期：2026 年 8 月    日</w:t>
            </w:r>
          </w:p>
        </w:tc>
        <w:tc>
          <w:tcPr>
            <w:tcW w:type="dxa" w:w="3168"/>
            <w:tcMar>
              <w:top w:w="180" w:type="dxa"/>
              <w:bottom w:w="180" w:type="dxa"/>
              <w:left w:w="150" w:type="dxa"/>
              <w:right w:w="150" w:type="dxa"/>
            </w:tcMar>
          </w:tcPr>
          <w:p>
            <w:r>
              <w:rPr>
                <w:color w:val="334155"/>
                <w:sz w:val="18"/>
              </w:rPr>
              <w:t>簽名：____________________</w:t>
              <w:br/>
              <w:t>總經理 / 審計委員會代表</w:t>
              <w:br/>
              <w:br/>
              <w:t>日期：2026 年 8 月    日</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 Confidential ｜ Prepared for CHRO, CEO &amp; Audit Committee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藥華醫藥（6446）資安長遴選與事件處置專業建議函 ｜ 專函呈送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