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jc w:val="center"/>
      </w:pPr>
      <w:r>
        <w:rPr>
          <w:b/>
          <w:color w:val="0F172A"/>
          <w:sz w:val="40"/>
        </w:rPr>
        <w:t>藥華醫藥集團（6446）資安應變小組（CSIRT）編組名冊</w:t>
        <w:br/>
        <w:t>RACI 權責矩陣 暨 全域資產盤點處置標準作業程序報告書</w:t>
      </w:r>
    </w:p>
    <w:p>
      <w:pPr>
        <w:spacing w:after="160"/>
        <w:jc w:val="center"/>
      </w:pPr>
      <w:r>
        <w:rPr>
          <w:b/>
          <w:color w:val="0284C7"/>
          <w:sz w:val="23"/>
        </w:rPr>
        <w:t>CSIRT Organizational Roster, RACI Governance &amp; Asset Audit Procedure Standard</w:t>
      </w:r>
    </w:p>
    <w:p>
      <w:pPr>
        <w:spacing w:after="240"/>
        <w:jc w:val="center"/>
      </w:pPr>
      <w:r>
        <w:rPr>
          <w:color w:val="334155"/>
          <w:sz w:val="18"/>
        </w:rPr>
        <w:t>文件編號：PE-CSIRT-SOP-2026-08 ｜ 機密等級：極機密 (TLP:AMBER)</w:t>
        <w:br/>
        <w:t>報告主筆：廖倫豪 博士 (Howard Liao, Ph.D.) ｜ Group CISO 候選人</w:t>
        <w:br/>
        <w:t>呈報對象：董事會 ｜ 審計委員會 ｜ 總經理 ｜ 專案應變委員會</w:t>
      </w:r>
    </w:p>
    <w:p>
      <w:pPr>
        <w:spacing w:after="280"/>
        <w:jc w:val="center"/>
      </w:pPr>
      <w:r>
        <w:rPr>
          <w:color w:val="0284C7"/>
        </w:rPr>
        <w:t>――――――――――――――――――――――――――――――――――――――――――――――――――</w:t>
      </w:r>
    </w:p>
    <w:p>
      <w:pPr>
        <w:keepNext/>
        <w:spacing w:before="320" w:after="120"/>
      </w:pPr>
      <w:r>
        <w:rPr>
          <w:b/>
          <w:color w:val="0F172A"/>
          <w:sz w:val="27"/>
        </w:rPr>
        <w:t>一、 資安小組組織架構與戰時 War Room 編組名冊 (CSIRT Roster)</w:t>
      </w:r>
    </w:p>
    <w:p>
      <w:pPr>
        <w:spacing w:after="80" w:line="276" w:lineRule="auto"/>
      </w:pPr>
      <w:r>
        <w:rPr>
          <w:color w:val="334155"/>
          <w:sz w:val="19"/>
        </w:rPr>
        <w:t>本報告書依循 NIST SP 800-61r3 與金管會上市櫃資安監理規範，明確界定藥華醫藥集團之「平時資安運維體系」與「戰時重大資安事件應變小組（CSIRT / War Room）」編組名冊與權責分工：</w:t>
      </w:r>
    </w:p>
    <w:tbl>
      <w:tblPr>
        <w:tblW w:type="auto" w:w="0"/>
        <w:jc w:val="center"/>
        <w:tblLook w:firstColumn="1" w:firstRow="1" w:lastColumn="0" w:lastRow="0" w:noHBand="0" w:noVBand="1" w:val="04A0"/>
      </w:tblPr>
      <w:tblGrid>
        <w:gridCol w:w="2340"/>
        <w:gridCol w:w="2340"/>
        <w:gridCol w:w="2340"/>
        <w:gridCol w:w="2340"/>
      </w:tblGrid>
      <w:tr>
        <w:tc>
          <w:tcPr>
            <w:tcW w:type="dxa" w:w="1728"/>
            <w:shd w:fill="0F172A"/>
            <w:tcMar>
              <w:top w:w="140" w:type="dxa"/>
              <w:bottom w:w="140" w:type="dxa"/>
              <w:left w:w="160" w:type="dxa"/>
              <w:right w:w="160" w:type="dxa"/>
            </w:tcMar>
          </w:tcPr>
          <w:p>
            <w:pPr>
              <w:jc w:val="center"/>
            </w:pPr>
            <w:r>
              <w:rPr>
                <w:b/>
                <w:color w:val="FFFFFF"/>
                <w:sz w:val="19"/>
              </w:rPr>
              <w:t>戰時角色</w:t>
            </w:r>
          </w:p>
        </w:tc>
        <w:tc>
          <w:tcPr>
            <w:tcW w:type="dxa" w:w="2160"/>
            <w:shd w:fill="0F172A"/>
            <w:tcMar>
              <w:top w:w="140" w:type="dxa"/>
              <w:bottom w:w="140" w:type="dxa"/>
              <w:left w:w="160" w:type="dxa"/>
              <w:right w:w="160" w:type="dxa"/>
            </w:tcMar>
          </w:tcPr>
          <w:p>
            <w:pPr>
              <w:jc w:val="center"/>
            </w:pPr>
            <w:r>
              <w:rPr>
                <w:b/>
                <w:color w:val="FFFFFF"/>
                <w:sz w:val="19"/>
              </w:rPr>
              <w:t>組織單位 / 職稱</w:t>
            </w:r>
          </w:p>
        </w:tc>
        <w:tc>
          <w:tcPr>
            <w:tcW w:type="dxa" w:w="1728"/>
            <w:shd w:fill="0F172A"/>
            <w:tcMar>
              <w:top w:w="140" w:type="dxa"/>
              <w:bottom w:w="140" w:type="dxa"/>
              <w:left w:w="160" w:type="dxa"/>
              <w:right w:w="160" w:type="dxa"/>
            </w:tcMar>
          </w:tcPr>
          <w:p>
            <w:pPr>
              <w:jc w:val="center"/>
            </w:pPr>
            <w:r>
              <w:rPr>
                <w:b/>
                <w:color w:val="FFFFFF"/>
                <w:sz w:val="19"/>
              </w:rPr>
              <w:t>主要負責人</w:t>
            </w:r>
          </w:p>
        </w:tc>
        <w:tc>
          <w:tcPr>
            <w:tcW w:type="dxa" w:w="3744"/>
            <w:shd w:fill="0F172A"/>
            <w:tcMar>
              <w:top w:w="140" w:type="dxa"/>
              <w:bottom w:w="140" w:type="dxa"/>
              <w:left w:w="160" w:type="dxa"/>
              <w:right w:w="160" w:type="dxa"/>
            </w:tcMar>
          </w:tcPr>
          <w:p>
            <w:pPr>
              <w:jc w:val="center"/>
            </w:pPr>
            <w:r>
              <w:rPr>
                <w:b/>
                <w:color w:val="FFFFFF"/>
                <w:sz w:val="19"/>
              </w:rPr>
              <w:t>核心戰時職責與邊界</w:t>
            </w:r>
          </w:p>
        </w:tc>
      </w:tr>
      <w:tr>
        <w:tc>
          <w:tcPr>
            <w:tcW w:type="dxa" w:w="1728"/>
            <w:tcMar>
              <w:top w:w="140" w:type="dxa"/>
              <w:bottom w:w="140" w:type="dxa"/>
              <w:left w:w="160" w:type="dxa"/>
              <w:right w:w="160" w:type="dxa"/>
            </w:tcMar>
          </w:tcPr>
          <w:p>
            <w:r>
              <w:rPr>
                <w:color w:val="334155"/>
                <w:sz w:val="17"/>
              </w:rPr>
              <w:t>最高指揮官</w:t>
              <w:br/>
              <w:t>(Incident Commander)</w:t>
            </w:r>
          </w:p>
        </w:tc>
        <w:tc>
          <w:tcPr>
            <w:tcW w:type="dxa" w:w="2160"/>
            <w:tcMar>
              <w:top w:w="140" w:type="dxa"/>
              <w:bottom w:w="140" w:type="dxa"/>
              <w:left w:w="160" w:type="dxa"/>
              <w:right w:w="160" w:type="dxa"/>
            </w:tcMar>
          </w:tcPr>
          <w:p>
            <w:r>
              <w:rPr>
                <w:color w:val="334155"/>
                <w:sz w:val="17"/>
              </w:rPr>
              <w:t>集團資安處 (CISO Office)</w:t>
            </w:r>
          </w:p>
        </w:tc>
        <w:tc>
          <w:tcPr>
            <w:tcW w:type="dxa" w:w="1728"/>
            <w:tcMar>
              <w:top w:w="140" w:type="dxa"/>
              <w:bottom w:w="140" w:type="dxa"/>
              <w:left w:w="160" w:type="dxa"/>
              <w:right w:w="160" w:type="dxa"/>
            </w:tcMar>
          </w:tcPr>
          <w:p>
            <w:r>
              <w:rPr>
                <w:color w:val="334155"/>
                <w:sz w:val="17"/>
              </w:rPr>
              <w:t>集團資安長 (CISO)</w:t>
              <w:br/>
              <w:t>廖倫豪 博士</w:t>
            </w:r>
          </w:p>
        </w:tc>
        <w:tc>
          <w:tcPr>
            <w:tcW w:type="dxa" w:w="3744"/>
            <w:tcMar>
              <w:top w:w="140" w:type="dxa"/>
              <w:bottom w:w="140" w:type="dxa"/>
              <w:left w:w="160" w:type="dxa"/>
              <w:right w:w="160" w:type="dxa"/>
            </w:tcMar>
          </w:tcPr>
          <w:p>
            <w:r>
              <w:rPr>
                <w:color w:val="334155"/>
                <w:sz w:val="17"/>
              </w:rPr>
              <w:t>統籌 War Room 運作、指揮止血與鑑識、裁決技術隔離、向 CEO 與審計委員會提報 SITREP。</w:t>
            </w:r>
          </w:p>
        </w:tc>
      </w:tr>
      <w:tr>
        <w:tc>
          <w:tcPr>
            <w:tcW w:type="dxa" w:w="1728"/>
            <w:tcMar>
              <w:top w:w="140" w:type="dxa"/>
              <w:bottom w:w="140" w:type="dxa"/>
              <w:left w:w="160" w:type="dxa"/>
              <w:right w:w="160" w:type="dxa"/>
            </w:tcMar>
            <w:shd w:fill="F8FAFC"/>
          </w:tcPr>
          <w:p>
            <w:r>
              <w:rPr>
                <w:color w:val="334155"/>
                <w:sz w:val="17"/>
              </w:rPr>
              <w:t>網路通訊組長</w:t>
              <w:br/>
              <w:t>(Network Lead)</w:t>
            </w:r>
          </w:p>
        </w:tc>
        <w:tc>
          <w:tcPr>
            <w:tcW w:type="dxa" w:w="2160"/>
            <w:tcMar>
              <w:top w:w="140" w:type="dxa"/>
              <w:bottom w:w="140" w:type="dxa"/>
              <w:left w:w="160" w:type="dxa"/>
              <w:right w:w="160" w:type="dxa"/>
            </w:tcMar>
            <w:shd w:fill="F8FAFC"/>
          </w:tcPr>
          <w:p>
            <w:r>
              <w:rPr>
                <w:color w:val="334155"/>
                <w:sz w:val="17"/>
              </w:rPr>
              <w:t>IT 網路維運組</w:t>
            </w:r>
          </w:p>
        </w:tc>
        <w:tc>
          <w:tcPr>
            <w:tcW w:type="dxa" w:w="1728"/>
            <w:tcMar>
              <w:top w:w="140" w:type="dxa"/>
              <w:bottom w:w="140" w:type="dxa"/>
              <w:left w:w="160" w:type="dxa"/>
              <w:right w:w="160" w:type="dxa"/>
            </w:tcMar>
            <w:shd w:fill="F8FAFC"/>
          </w:tcPr>
          <w:p>
            <w:r>
              <w:rPr>
                <w:color w:val="334155"/>
                <w:sz w:val="17"/>
              </w:rPr>
              <w:t>網路維運主管</w:t>
            </w:r>
          </w:p>
        </w:tc>
        <w:tc>
          <w:tcPr>
            <w:tcW w:type="dxa" w:w="3744"/>
            <w:tcMar>
              <w:top w:w="140" w:type="dxa"/>
              <w:bottom w:w="140" w:type="dxa"/>
              <w:left w:w="160" w:type="dxa"/>
              <w:right w:w="160" w:type="dxa"/>
            </w:tcMar>
            <w:shd w:fill="F8FAFC"/>
          </w:tcPr>
          <w:p>
            <w:r>
              <w:rPr>
                <w:color w:val="334155"/>
                <w:sz w:val="17"/>
              </w:rPr>
              <w:t>盤點公網暴露面、執行網段隔離、切斷受害子公司 VPN 專線、封鎖惡意 C2 IP/域名與日誌凍結。</w:t>
            </w:r>
          </w:p>
        </w:tc>
      </w:tr>
      <w:tr>
        <w:tc>
          <w:tcPr>
            <w:tcW w:type="dxa" w:w="1728"/>
            <w:tcMar>
              <w:top w:w="140" w:type="dxa"/>
              <w:bottom w:w="140" w:type="dxa"/>
              <w:left w:w="160" w:type="dxa"/>
              <w:right w:w="160" w:type="dxa"/>
            </w:tcMar>
          </w:tcPr>
          <w:p>
            <w:r>
              <w:rPr>
                <w:color w:val="334155"/>
                <w:sz w:val="17"/>
              </w:rPr>
              <w:t>基礎架構組長</w:t>
              <w:br/>
              <w:t>(Infra Lead)</w:t>
            </w:r>
          </w:p>
        </w:tc>
        <w:tc>
          <w:tcPr>
            <w:tcW w:type="dxa" w:w="2160"/>
            <w:tcMar>
              <w:top w:w="140" w:type="dxa"/>
              <w:bottom w:w="140" w:type="dxa"/>
              <w:left w:w="160" w:type="dxa"/>
              <w:right w:w="160" w:type="dxa"/>
            </w:tcMar>
          </w:tcPr>
          <w:p>
            <w:r>
              <w:rPr>
                <w:color w:val="334155"/>
                <w:sz w:val="17"/>
              </w:rPr>
              <w:t>IT 系統與架構組</w:t>
            </w:r>
          </w:p>
        </w:tc>
        <w:tc>
          <w:tcPr>
            <w:tcW w:type="dxa" w:w="1728"/>
            <w:tcMar>
              <w:top w:w="140" w:type="dxa"/>
              <w:bottom w:w="140" w:type="dxa"/>
              <w:left w:w="160" w:type="dxa"/>
              <w:right w:w="160" w:type="dxa"/>
            </w:tcMar>
          </w:tcPr>
          <w:p>
            <w:r>
              <w:rPr>
                <w:color w:val="334155"/>
                <w:sz w:val="17"/>
              </w:rPr>
              <w:t>硬體系統主管</w:t>
            </w:r>
          </w:p>
        </w:tc>
        <w:tc>
          <w:tcPr>
            <w:tcW w:type="dxa" w:w="3744"/>
            <w:tcMar>
              <w:top w:w="140" w:type="dxa"/>
              <w:bottom w:w="140" w:type="dxa"/>
              <w:left w:w="160" w:type="dxa"/>
              <w:right w:w="160" w:type="dxa"/>
            </w:tcMar>
          </w:tcPr>
          <w:p>
            <w:r>
              <w:rPr>
                <w:color w:val="334155"/>
                <w:sz w:val="17"/>
              </w:rPr>
              <w:t>切斷備份管理網路（Air-gap）、虛擬機 vNIC 斷線並拍取記憶體快照、搭建隔離 Clean Room 還原環境。</w:t>
            </w:r>
          </w:p>
        </w:tc>
      </w:tr>
      <w:tr>
        <w:tc>
          <w:tcPr>
            <w:tcW w:type="dxa" w:w="1728"/>
            <w:tcMar>
              <w:top w:w="140" w:type="dxa"/>
              <w:bottom w:w="140" w:type="dxa"/>
              <w:left w:w="160" w:type="dxa"/>
              <w:right w:w="160" w:type="dxa"/>
            </w:tcMar>
            <w:shd w:fill="F8FAFC"/>
          </w:tcPr>
          <w:p>
            <w:r>
              <w:rPr>
                <w:color w:val="334155"/>
                <w:sz w:val="17"/>
              </w:rPr>
              <w:t>資安運維組長</w:t>
              <w:br/>
              <w:t>(SecOps Lead)</w:t>
            </w:r>
          </w:p>
        </w:tc>
        <w:tc>
          <w:tcPr>
            <w:tcW w:type="dxa" w:w="2160"/>
            <w:tcMar>
              <w:top w:w="140" w:type="dxa"/>
              <w:bottom w:w="140" w:type="dxa"/>
              <w:left w:w="160" w:type="dxa"/>
              <w:right w:w="160" w:type="dxa"/>
            </w:tcMar>
            <w:shd w:fill="F8FAFC"/>
          </w:tcPr>
          <w:p>
            <w:r>
              <w:rPr>
                <w:color w:val="334155"/>
                <w:sz w:val="17"/>
              </w:rPr>
              <w:t>資安監控中心 (SOC)</w:t>
            </w:r>
          </w:p>
        </w:tc>
        <w:tc>
          <w:tcPr>
            <w:tcW w:type="dxa" w:w="1728"/>
            <w:tcMar>
              <w:top w:w="140" w:type="dxa"/>
              <w:bottom w:w="140" w:type="dxa"/>
              <w:left w:w="160" w:type="dxa"/>
              <w:right w:w="160" w:type="dxa"/>
            </w:tcMar>
            <w:shd w:fill="F8FAFC"/>
          </w:tcPr>
          <w:p>
            <w:r>
              <w:rPr>
                <w:color w:val="334155"/>
                <w:sz w:val="17"/>
              </w:rPr>
              <w:t>資安運維主管</w:t>
            </w:r>
          </w:p>
        </w:tc>
        <w:tc>
          <w:tcPr>
            <w:tcW w:type="dxa" w:w="3744"/>
            <w:tcMar>
              <w:top w:w="140" w:type="dxa"/>
              <w:bottom w:w="140" w:type="dxa"/>
              <w:left w:w="160" w:type="dxa"/>
              <w:right w:w="160" w:type="dxa"/>
            </w:tcMar>
            <w:shd w:fill="F8FAFC"/>
          </w:tcPr>
          <w:p>
            <w:r>
              <w:rPr>
                <w:color w:val="334155"/>
                <w:sz w:val="17"/>
              </w:rPr>
              <w:t>全域 EDR 覆蓋盤點、SIEM 橫向移動分析、提取 IOC 威脅獵捕、通報 Registrar 下架仿冒網域。</w:t>
            </w:r>
          </w:p>
        </w:tc>
      </w:tr>
      <w:tr>
        <w:tc>
          <w:tcPr>
            <w:tcW w:type="dxa" w:w="1728"/>
            <w:tcMar>
              <w:top w:w="140" w:type="dxa"/>
              <w:bottom w:w="140" w:type="dxa"/>
              <w:left w:w="160" w:type="dxa"/>
              <w:right w:w="160" w:type="dxa"/>
            </w:tcMar>
          </w:tcPr>
          <w:p>
            <w:r>
              <w:rPr>
                <w:color w:val="334155"/>
                <w:sz w:val="17"/>
              </w:rPr>
              <w:t>企業應用組長</w:t>
              <w:br/>
              <w:t>(Apps/MIS Lead)</w:t>
            </w:r>
          </w:p>
        </w:tc>
        <w:tc>
          <w:tcPr>
            <w:tcW w:type="dxa" w:w="2160"/>
            <w:tcMar>
              <w:top w:w="140" w:type="dxa"/>
              <w:bottom w:w="140" w:type="dxa"/>
              <w:left w:w="160" w:type="dxa"/>
              <w:right w:w="160" w:type="dxa"/>
            </w:tcMar>
          </w:tcPr>
          <w:p>
            <w:r>
              <w:rPr>
                <w:color w:val="334155"/>
                <w:sz w:val="17"/>
              </w:rPr>
              <w:t>MIS 與應用系統組</w:t>
            </w:r>
          </w:p>
        </w:tc>
        <w:tc>
          <w:tcPr>
            <w:tcW w:type="dxa" w:w="1728"/>
            <w:tcMar>
              <w:top w:w="140" w:type="dxa"/>
              <w:bottom w:w="140" w:type="dxa"/>
              <w:left w:w="160" w:type="dxa"/>
              <w:right w:w="160" w:type="dxa"/>
            </w:tcMar>
          </w:tcPr>
          <w:p>
            <w:r>
              <w:rPr>
                <w:color w:val="334155"/>
                <w:sz w:val="17"/>
              </w:rPr>
              <w:t>MIS 應用主管</w:t>
            </w:r>
          </w:p>
        </w:tc>
        <w:tc>
          <w:tcPr>
            <w:tcW w:type="dxa" w:w="3744"/>
            <w:tcMar>
              <w:top w:w="140" w:type="dxa"/>
              <w:bottom w:w="140" w:type="dxa"/>
              <w:left w:w="160" w:type="dxa"/>
              <w:right w:w="160" w:type="dxa"/>
            </w:tcMar>
          </w:tcPr>
          <w:p>
            <w:r>
              <w:rPr>
                <w:color w:val="334155"/>
                <w:sz w:val="17"/>
              </w:rPr>
              <w:t>盤點 Domain Admins 與廠商帳號、強制密碼重設與 krbtgt 輪替、凍結備份覆寫、切換 BCP 手工作業。</w:t>
            </w:r>
          </w:p>
        </w:tc>
      </w:tr>
      <w:tr>
        <w:tc>
          <w:tcPr>
            <w:tcW w:type="dxa" w:w="1728"/>
            <w:tcMar>
              <w:top w:w="140" w:type="dxa"/>
              <w:bottom w:w="140" w:type="dxa"/>
              <w:left w:w="160" w:type="dxa"/>
              <w:right w:w="160" w:type="dxa"/>
            </w:tcMar>
            <w:shd w:fill="F8FAFC"/>
          </w:tcPr>
          <w:p>
            <w:r>
              <w:rPr>
                <w:color w:val="334155"/>
                <w:sz w:val="17"/>
              </w:rPr>
              <w:t>品質與確效代表</w:t>
              <w:br/>
              <w:t>(QA &amp; CSV Lead)</w:t>
            </w:r>
          </w:p>
        </w:tc>
        <w:tc>
          <w:tcPr>
            <w:tcW w:type="dxa" w:w="2160"/>
            <w:tcMar>
              <w:top w:w="140" w:type="dxa"/>
              <w:bottom w:w="140" w:type="dxa"/>
              <w:left w:w="160" w:type="dxa"/>
              <w:right w:w="160" w:type="dxa"/>
            </w:tcMar>
            <w:shd w:fill="F8FAFC"/>
          </w:tcPr>
          <w:p>
            <w:r>
              <w:rPr>
                <w:color w:val="334155"/>
                <w:sz w:val="17"/>
              </w:rPr>
              <w:t>品質保證處 (QA) / CSV</w:t>
            </w:r>
          </w:p>
        </w:tc>
        <w:tc>
          <w:tcPr>
            <w:tcW w:type="dxa" w:w="1728"/>
            <w:tcMar>
              <w:top w:w="140" w:type="dxa"/>
              <w:bottom w:w="140" w:type="dxa"/>
              <w:left w:w="160" w:type="dxa"/>
              <w:right w:w="160" w:type="dxa"/>
            </w:tcMar>
            <w:shd w:fill="F8FAFC"/>
          </w:tcPr>
          <w:p>
            <w:r>
              <w:rPr>
                <w:color w:val="334155"/>
                <w:sz w:val="17"/>
              </w:rPr>
              <w:t>品質主管 / 確效專員</w:t>
            </w:r>
          </w:p>
        </w:tc>
        <w:tc>
          <w:tcPr>
            <w:tcW w:type="dxa" w:w="3744"/>
            <w:tcMar>
              <w:top w:w="140" w:type="dxa"/>
              <w:bottom w:w="140" w:type="dxa"/>
              <w:left w:w="160" w:type="dxa"/>
              <w:right w:w="160" w:type="dxa"/>
            </w:tcMar>
            <w:shd w:fill="F8FAFC"/>
          </w:tcPr>
          <w:p>
            <w:r>
              <w:rPr>
                <w:color w:val="334155"/>
                <w:sz w:val="17"/>
              </w:rPr>
              <w:t>獨立審查 GxP 系統資料完整性（ALCOA+）、審核 Audit Trail、核簽系統變更控制（Change Control）與復線。</w:t>
            </w:r>
          </w:p>
        </w:tc>
      </w:tr>
      <w:tr>
        <w:tc>
          <w:tcPr>
            <w:tcW w:type="dxa" w:w="1728"/>
            <w:tcMar>
              <w:top w:w="140" w:type="dxa"/>
              <w:bottom w:w="140" w:type="dxa"/>
              <w:left w:w="160" w:type="dxa"/>
              <w:right w:w="160" w:type="dxa"/>
            </w:tcMar>
          </w:tcPr>
          <w:p>
            <w:r>
              <w:rPr>
                <w:color w:val="334155"/>
                <w:sz w:val="17"/>
              </w:rPr>
              <w:t>個資與隱私官</w:t>
              <w:br/>
              <w:t>(DPO Lead)</w:t>
            </w:r>
          </w:p>
        </w:tc>
        <w:tc>
          <w:tcPr>
            <w:tcW w:type="dxa" w:w="2160"/>
            <w:tcMar>
              <w:top w:w="140" w:type="dxa"/>
              <w:bottom w:w="140" w:type="dxa"/>
              <w:left w:w="160" w:type="dxa"/>
              <w:right w:w="160" w:type="dxa"/>
            </w:tcMar>
          </w:tcPr>
          <w:p>
            <w:r>
              <w:rPr>
                <w:color w:val="334155"/>
                <w:sz w:val="17"/>
              </w:rPr>
              <w:t>法規法遵處 / DPO</w:t>
            </w:r>
          </w:p>
        </w:tc>
        <w:tc>
          <w:tcPr>
            <w:tcW w:type="dxa" w:w="1728"/>
            <w:tcMar>
              <w:top w:w="140" w:type="dxa"/>
              <w:bottom w:w="140" w:type="dxa"/>
              <w:left w:w="160" w:type="dxa"/>
              <w:right w:w="160" w:type="dxa"/>
            </w:tcMar>
          </w:tcPr>
          <w:p>
            <w:r>
              <w:rPr>
                <w:color w:val="334155"/>
                <w:sz w:val="17"/>
              </w:rPr>
              <w:t>資料保護官 (DPO)</w:t>
            </w:r>
          </w:p>
        </w:tc>
        <w:tc>
          <w:tcPr>
            <w:tcW w:type="dxa" w:w="3744"/>
            <w:tcMar>
              <w:top w:w="140" w:type="dxa"/>
              <w:bottom w:w="140" w:type="dxa"/>
              <w:left w:w="160" w:type="dxa"/>
              <w:right w:w="160" w:type="dxa"/>
            </w:tcMar>
          </w:tcPr>
          <w:p>
            <w:r>
              <w:rPr>
                <w:color w:val="334155"/>
                <w:sz w:val="17"/>
              </w:rPr>
              <w:t>盤點外洩資料主體（員工/病患/合作夥伴）、評估 GDPR/HIPAA/個資法影響、出具通報評估報告。</w:t>
            </w:r>
          </w:p>
        </w:tc>
      </w:tr>
      <w:tr>
        <w:tc>
          <w:tcPr>
            <w:tcW w:type="dxa" w:w="1728"/>
            <w:tcMar>
              <w:top w:w="140" w:type="dxa"/>
              <w:bottom w:w="140" w:type="dxa"/>
              <w:left w:w="160" w:type="dxa"/>
              <w:right w:w="160" w:type="dxa"/>
            </w:tcMar>
            <w:shd w:fill="F8FAFC"/>
          </w:tcPr>
          <w:p>
            <w:r>
              <w:rPr>
                <w:color w:val="334155"/>
                <w:sz w:val="17"/>
              </w:rPr>
              <w:t>法律與通報顧問</w:t>
              <w:br/>
              <w:t>(Legal / GC)</w:t>
            </w:r>
          </w:p>
        </w:tc>
        <w:tc>
          <w:tcPr>
            <w:tcW w:type="dxa" w:w="2160"/>
            <w:tcMar>
              <w:top w:w="140" w:type="dxa"/>
              <w:bottom w:w="140" w:type="dxa"/>
              <w:left w:w="160" w:type="dxa"/>
              <w:right w:w="160" w:type="dxa"/>
            </w:tcMar>
            <w:shd w:fill="F8FAFC"/>
          </w:tcPr>
          <w:p>
            <w:r>
              <w:rPr>
                <w:color w:val="334155"/>
                <w:sz w:val="17"/>
              </w:rPr>
              <w:t>法務室 / 外部律師</w:t>
            </w:r>
          </w:p>
        </w:tc>
        <w:tc>
          <w:tcPr>
            <w:tcW w:type="dxa" w:w="1728"/>
            <w:tcMar>
              <w:top w:w="140" w:type="dxa"/>
              <w:bottom w:w="140" w:type="dxa"/>
              <w:left w:w="160" w:type="dxa"/>
              <w:right w:w="160" w:type="dxa"/>
            </w:tcMar>
            <w:shd w:fill="F8FAFC"/>
          </w:tcPr>
          <w:p>
            <w:r>
              <w:rPr>
                <w:color w:val="334155"/>
                <w:sz w:val="17"/>
              </w:rPr>
              <w:t>法務長 (GC) / 律師</w:t>
            </w:r>
          </w:p>
        </w:tc>
        <w:tc>
          <w:tcPr>
            <w:tcW w:type="dxa" w:w="3744"/>
            <w:tcMar>
              <w:top w:w="140" w:type="dxa"/>
              <w:bottom w:w="140" w:type="dxa"/>
              <w:left w:w="160" w:type="dxa"/>
              <w:right w:w="160" w:type="dxa"/>
            </w:tcMar>
            <w:shd w:fill="F8FAFC"/>
          </w:tcPr>
          <w:p>
            <w:r>
              <w:rPr>
                <w:color w:val="334155"/>
                <w:sz w:val="17"/>
              </w:rPr>
              <w:t>委任外部 DFIR 確保法律特權（Attorney-Client Privilege）、審核 MOPS 重訊與監管申報內容。</w:t>
            </w:r>
          </w:p>
        </w:tc>
      </w:tr>
      <w:tr>
        <w:tc>
          <w:tcPr>
            <w:tcW w:type="dxa" w:w="1728"/>
            <w:tcMar>
              <w:top w:w="140" w:type="dxa"/>
              <w:bottom w:w="140" w:type="dxa"/>
              <w:left w:w="160" w:type="dxa"/>
              <w:right w:w="160" w:type="dxa"/>
            </w:tcMar>
          </w:tcPr>
          <w:p>
            <w:r>
              <w:rPr>
                <w:color w:val="334155"/>
                <w:sz w:val="17"/>
              </w:rPr>
              <w:t>生產與廠區代表</w:t>
              <w:br/>
              <w:t>(Manufacturing Lead)</w:t>
            </w:r>
          </w:p>
        </w:tc>
        <w:tc>
          <w:tcPr>
            <w:tcW w:type="dxa" w:w="2160"/>
            <w:tcMar>
              <w:top w:w="140" w:type="dxa"/>
              <w:bottom w:w="140" w:type="dxa"/>
              <w:left w:w="160" w:type="dxa"/>
              <w:right w:w="160" w:type="dxa"/>
            </w:tcMar>
          </w:tcPr>
          <w:p>
            <w:r>
              <w:rPr>
                <w:color w:val="334155"/>
                <w:sz w:val="17"/>
              </w:rPr>
              <w:t>台中蛋白質製藥廠</w:t>
            </w:r>
          </w:p>
        </w:tc>
        <w:tc>
          <w:tcPr>
            <w:tcW w:type="dxa" w:w="1728"/>
            <w:tcMar>
              <w:top w:w="140" w:type="dxa"/>
              <w:bottom w:w="140" w:type="dxa"/>
              <w:left w:w="160" w:type="dxa"/>
              <w:right w:w="160" w:type="dxa"/>
            </w:tcMar>
          </w:tcPr>
          <w:p>
            <w:r>
              <w:rPr>
                <w:color w:val="334155"/>
                <w:sz w:val="17"/>
              </w:rPr>
              <w:t>廠長 / EHS 主管</w:t>
            </w:r>
          </w:p>
        </w:tc>
        <w:tc>
          <w:tcPr>
            <w:tcW w:type="dxa" w:w="3744"/>
            <w:tcMar>
              <w:top w:w="140" w:type="dxa"/>
              <w:bottom w:w="140" w:type="dxa"/>
              <w:left w:w="160" w:type="dxa"/>
              <w:right w:w="160" w:type="dxa"/>
            </w:tcMar>
          </w:tcPr>
          <w:p>
            <w:r>
              <w:rPr>
                <w:color w:val="334155"/>
                <w:sz w:val="17"/>
              </w:rPr>
              <w:t>監控 GMP 生產線、SCADA/PLC 工廠網路隔離度、確保無菌製造環境與人員工安不受中斷。</w:t>
            </w:r>
          </w:p>
        </w:tc>
      </w:tr>
    </w:tbl>
    <w:p>
      <w:pPr>
        <w:spacing w:after="120"/>
      </w:pPr>
    </w:p>
    <w:p>
      <w:pPr>
        <w:keepNext/>
        <w:spacing w:before="320" w:after="120"/>
      </w:pPr>
      <w:r>
        <w:rPr>
          <w:b/>
          <w:color w:val="0F172A"/>
          <w:sz w:val="27"/>
        </w:rPr>
        <w:t>二、 戰時跨職能 RACI 權責分配矩陣</w:t>
      </w:r>
    </w:p>
    <w:p>
      <w:pPr>
        <w:spacing w:after="80" w:line="276" w:lineRule="auto"/>
      </w:pPr>
      <w:r>
        <w:rPr>
          <w:color w:val="334155"/>
          <w:sz w:val="19"/>
        </w:rPr>
        <w:t>定義各項關鍵應變行動中，各角色的權責屬性（R: Responsible 執行者, A: Accountable 最終負責核准者, C: Consulted 諮詢者, I: Informed 被告知者）：</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3024"/>
            <w:shd w:fill="0F172A"/>
            <w:tcMar>
              <w:top w:w="140" w:type="dxa"/>
              <w:bottom w:w="140" w:type="dxa"/>
              <w:left w:w="160" w:type="dxa"/>
              <w:right w:w="160" w:type="dxa"/>
            </w:tcMar>
          </w:tcPr>
          <w:p>
            <w:pPr>
              <w:jc w:val="center"/>
            </w:pPr>
            <w:r>
              <w:rPr>
                <w:b/>
                <w:color w:val="FFFFFF"/>
                <w:sz w:val="17"/>
              </w:rPr>
              <w:t>關鍵應變任務</w:t>
            </w:r>
          </w:p>
        </w:tc>
        <w:tc>
          <w:tcPr>
            <w:tcW w:type="dxa" w:w="1008"/>
            <w:shd w:fill="0F172A"/>
            <w:tcMar>
              <w:top w:w="140" w:type="dxa"/>
              <w:bottom w:w="140" w:type="dxa"/>
              <w:left w:w="160" w:type="dxa"/>
              <w:right w:w="160" w:type="dxa"/>
            </w:tcMar>
          </w:tcPr>
          <w:p>
            <w:pPr>
              <w:jc w:val="center"/>
            </w:pPr>
            <w:r>
              <w:rPr>
                <w:b/>
                <w:color w:val="FFFFFF"/>
                <w:sz w:val="17"/>
              </w:rPr>
              <w:t>CISO</w:t>
            </w:r>
          </w:p>
        </w:tc>
        <w:tc>
          <w:tcPr>
            <w:tcW w:type="dxa" w:w="1008"/>
            <w:shd w:fill="0F172A"/>
            <w:tcMar>
              <w:top w:w="140" w:type="dxa"/>
              <w:bottom w:w="140" w:type="dxa"/>
              <w:left w:w="160" w:type="dxa"/>
              <w:right w:w="160" w:type="dxa"/>
            </w:tcMar>
          </w:tcPr>
          <w:p>
            <w:pPr>
              <w:jc w:val="center"/>
            </w:pPr>
            <w:r>
              <w:rPr>
                <w:b/>
                <w:color w:val="FFFFFF"/>
                <w:sz w:val="17"/>
              </w:rPr>
              <w:t>IT/MIS</w:t>
            </w:r>
          </w:p>
        </w:tc>
        <w:tc>
          <w:tcPr>
            <w:tcW w:type="dxa" w:w="1152"/>
            <w:shd w:fill="0F172A"/>
            <w:tcMar>
              <w:top w:w="140" w:type="dxa"/>
              <w:bottom w:w="140" w:type="dxa"/>
              <w:left w:w="160" w:type="dxa"/>
              <w:right w:w="160" w:type="dxa"/>
            </w:tcMar>
          </w:tcPr>
          <w:p>
            <w:pPr>
              <w:jc w:val="center"/>
            </w:pPr>
            <w:r>
              <w:rPr>
                <w:b/>
                <w:color w:val="FFFFFF"/>
                <w:sz w:val="17"/>
              </w:rPr>
              <w:t>QA/CSV</w:t>
            </w:r>
          </w:p>
        </w:tc>
        <w:tc>
          <w:tcPr>
            <w:tcW w:type="dxa" w:w="1152"/>
            <w:shd w:fill="0F172A"/>
            <w:tcMar>
              <w:top w:w="140" w:type="dxa"/>
              <w:bottom w:w="140" w:type="dxa"/>
              <w:left w:w="160" w:type="dxa"/>
              <w:right w:w="160" w:type="dxa"/>
            </w:tcMar>
          </w:tcPr>
          <w:p>
            <w:pPr>
              <w:jc w:val="center"/>
            </w:pPr>
            <w:r>
              <w:rPr>
                <w:b/>
                <w:color w:val="FFFFFF"/>
                <w:sz w:val="17"/>
              </w:rPr>
              <w:t>DPO/法務</w:t>
            </w:r>
          </w:p>
        </w:tc>
        <w:tc>
          <w:tcPr>
            <w:tcW w:type="dxa" w:w="1152"/>
            <w:shd w:fill="0F172A"/>
            <w:tcMar>
              <w:top w:w="140" w:type="dxa"/>
              <w:bottom w:w="140" w:type="dxa"/>
              <w:left w:w="160" w:type="dxa"/>
              <w:right w:w="160" w:type="dxa"/>
            </w:tcMar>
          </w:tcPr>
          <w:p>
            <w:pPr>
              <w:jc w:val="center"/>
            </w:pPr>
            <w:r>
              <w:rPr>
                <w:b/>
                <w:color w:val="FFFFFF"/>
                <w:sz w:val="17"/>
              </w:rPr>
              <w:t>廠長/業務</w:t>
            </w:r>
          </w:p>
        </w:tc>
        <w:tc>
          <w:tcPr>
            <w:tcW w:type="dxa" w:w="1152"/>
            <w:shd w:fill="0F172A"/>
            <w:tcMar>
              <w:top w:w="140" w:type="dxa"/>
              <w:bottom w:w="140" w:type="dxa"/>
              <w:left w:w="160" w:type="dxa"/>
              <w:right w:w="160" w:type="dxa"/>
            </w:tcMar>
          </w:tcPr>
          <w:p>
            <w:pPr>
              <w:jc w:val="center"/>
            </w:pPr>
            <w:r>
              <w:rPr>
                <w:b/>
                <w:color w:val="FFFFFF"/>
                <w:sz w:val="17"/>
              </w:rPr>
              <w:t>CEO/董事會</w:t>
            </w:r>
          </w:p>
        </w:tc>
      </w:tr>
      <w:tr>
        <w:tc>
          <w:tcPr>
            <w:tcW w:type="dxa" w:w="3024"/>
            <w:tcMar>
              <w:top w:w="140" w:type="dxa"/>
              <w:bottom w:w="140" w:type="dxa"/>
              <w:left w:w="160" w:type="dxa"/>
              <w:right w:w="160" w:type="dxa"/>
            </w:tcMar>
          </w:tcPr>
          <w:p>
            <w:r>
              <w:rPr>
                <w:color w:val="334155"/>
                <w:sz w:val="17"/>
              </w:rPr>
              <w:t>宣告 SEV-1 與 War Room 啟動</w:t>
            </w:r>
          </w:p>
        </w:tc>
        <w:tc>
          <w:tcPr>
            <w:tcW w:type="dxa" w:w="1008"/>
            <w:tcMar>
              <w:top w:w="140" w:type="dxa"/>
              <w:bottom w:w="140" w:type="dxa"/>
              <w:left w:w="160" w:type="dxa"/>
              <w:right w:w="160" w:type="dxa"/>
            </w:tcMar>
          </w:tcPr>
          <w:p>
            <w:pPr>
              <w:jc w:val="center"/>
            </w:pPr>
            <w:r>
              <w:rPr>
                <w:b/>
                <w:color w:val="0F172A"/>
                <w:sz w:val="17"/>
              </w:rPr>
              <w:t>A/R</w:t>
            </w:r>
          </w:p>
        </w:tc>
        <w:tc>
          <w:tcPr>
            <w:tcW w:type="dxa" w:w="1008"/>
            <w:tcMar>
              <w:top w:w="140" w:type="dxa"/>
              <w:bottom w:w="140" w:type="dxa"/>
              <w:left w:w="160" w:type="dxa"/>
              <w:right w:w="160" w:type="dxa"/>
            </w:tcMar>
          </w:tcPr>
          <w:p>
            <w:pPr>
              <w:jc w:val="center"/>
            </w:pPr>
            <w:r>
              <w:rPr>
                <w:color w:val="334155"/>
                <w:sz w:val="17"/>
              </w:rPr>
              <w:t>I</w:t>
            </w:r>
          </w:p>
        </w:tc>
        <w:tc>
          <w:tcPr>
            <w:tcW w:type="dxa" w:w="1152"/>
            <w:tcMar>
              <w:top w:w="140" w:type="dxa"/>
              <w:bottom w:w="140" w:type="dxa"/>
              <w:left w:w="160" w:type="dxa"/>
              <w:right w:w="160" w:type="dxa"/>
            </w:tcMar>
          </w:tcPr>
          <w:p>
            <w:pPr>
              <w:jc w:val="center"/>
            </w:pPr>
            <w:r>
              <w:rPr>
                <w:color w:val="334155"/>
                <w:sz w:val="17"/>
              </w:rPr>
              <w:t>I</w:t>
            </w:r>
          </w:p>
        </w:tc>
        <w:tc>
          <w:tcPr>
            <w:tcW w:type="dxa" w:w="1152"/>
            <w:tcMar>
              <w:top w:w="140" w:type="dxa"/>
              <w:bottom w:w="140" w:type="dxa"/>
              <w:left w:w="160" w:type="dxa"/>
              <w:right w:w="160" w:type="dxa"/>
            </w:tcMar>
          </w:tcPr>
          <w:p>
            <w:pPr>
              <w:jc w:val="center"/>
            </w:pPr>
            <w:r>
              <w:rPr>
                <w:color w:val="334155"/>
                <w:sz w:val="17"/>
              </w:rPr>
              <w:t>C</w:t>
            </w:r>
          </w:p>
        </w:tc>
        <w:tc>
          <w:tcPr>
            <w:tcW w:type="dxa" w:w="1152"/>
            <w:tcMar>
              <w:top w:w="140" w:type="dxa"/>
              <w:bottom w:w="140" w:type="dxa"/>
              <w:left w:w="160" w:type="dxa"/>
              <w:right w:w="160" w:type="dxa"/>
            </w:tcMar>
          </w:tcPr>
          <w:p>
            <w:pPr>
              <w:jc w:val="center"/>
            </w:pPr>
            <w:r>
              <w:rPr>
                <w:color w:val="334155"/>
                <w:sz w:val="17"/>
              </w:rPr>
              <w:t>I</w:t>
            </w:r>
          </w:p>
        </w:tc>
        <w:tc>
          <w:tcPr>
            <w:tcW w:type="dxa" w:w="1152"/>
            <w:tcMar>
              <w:top w:w="140" w:type="dxa"/>
              <w:bottom w:w="140" w:type="dxa"/>
              <w:left w:w="160" w:type="dxa"/>
              <w:right w:w="160" w:type="dxa"/>
            </w:tcMar>
          </w:tcPr>
          <w:p>
            <w:pPr>
              <w:jc w:val="center"/>
            </w:pPr>
            <w:r>
              <w:rPr>
                <w:color w:val="334155"/>
                <w:sz w:val="17"/>
              </w:rPr>
              <w:t>I</w:t>
            </w:r>
          </w:p>
        </w:tc>
      </w:tr>
      <w:tr>
        <w:tc>
          <w:tcPr>
            <w:tcW w:type="dxa" w:w="3024"/>
            <w:tcMar>
              <w:top w:w="140" w:type="dxa"/>
              <w:bottom w:w="140" w:type="dxa"/>
              <w:left w:w="160" w:type="dxa"/>
              <w:right w:w="160" w:type="dxa"/>
            </w:tcMar>
            <w:shd w:fill="F8FAFC"/>
          </w:tcPr>
          <w:p>
            <w:r>
              <w:rPr>
                <w:color w:val="334155"/>
                <w:sz w:val="17"/>
              </w:rPr>
              <w:t>端點/網段/子公司 VPN 緊急隔離</w:t>
            </w:r>
          </w:p>
        </w:tc>
        <w:tc>
          <w:tcPr>
            <w:tcW w:type="dxa" w:w="1008"/>
            <w:tcMar>
              <w:top w:w="140" w:type="dxa"/>
              <w:bottom w:w="140" w:type="dxa"/>
              <w:left w:w="160" w:type="dxa"/>
              <w:right w:w="160" w:type="dxa"/>
            </w:tcMar>
            <w:shd w:fill="F8FAFC"/>
          </w:tcPr>
          <w:p>
            <w:pPr>
              <w:jc w:val="center"/>
            </w:pPr>
            <w:r>
              <w:rPr>
                <w:b/>
                <w:color w:val="0F172A"/>
                <w:sz w:val="17"/>
              </w:rPr>
              <w:t>A/R</w:t>
            </w:r>
          </w:p>
        </w:tc>
        <w:tc>
          <w:tcPr>
            <w:tcW w:type="dxa" w:w="1008"/>
            <w:tcMar>
              <w:top w:w="140" w:type="dxa"/>
              <w:bottom w:w="140" w:type="dxa"/>
              <w:left w:w="160" w:type="dxa"/>
              <w:right w:w="160" w:type="dxa"/>
            </w:tcMar>
            <w:shd w:fill="F8FAFC"/>
          </w:tcPr>
          <w:p>
            <w:pPr>
              <w:jc w:val="center"/>
            </w:pPr>
            <w:r>
              <w:rPr>
                <w:color w:val="334155"/>
                <w:sz w:val="17"/>
              </w:rPr>
              <w:t>R</w:t>
            </w:r>
          </w:p>
        </w:tc>
        <w:tc>
          <w:tcPr>
            <w:tcW w:type="dxa" w:w="1152"/>
            <w:tcMar>
              <w:top w:w="140" w:type="dxa"/>
              <w:bottom w:w="140" w:type="dxa"/>
              <w:left w:w="160" w:type="dxa"/>
              <w:right w:w="160" w:type="dxa"/>
            </w:tcMar>
            <w:shd w:fill="F8FAFC"/>
          </w:tcPr>
          <w:p>
            <w:pPr>
              <w:jc w:val="center"/>
            </w:pPr>
            <w:r>
              <w:rPr>
                <w:color w:val="334155"/>
                <w:sz w:val="17"/>
              </w:rPr>
              <w:t>C</w:t>
            </w:r>
          </w:p>
        </w:tc>
        <w:tc>
          <w:tcPr>
            <w:tcW w:type="dxa" w:w="1152"/>
            <w:tcMar>
              <w:top w:w="140" w:type="dxa"/>
              <w:bottom w:w="140" w:type="dxa"/>
              <w:left w:w="160" w:type="dxa"/>
              <w:right w:w="160" w:type="dxa"/>
            </w:tcMar>
            <w:shd w:fill="F8FAFC"/>
          </w:tcPr>
          <w:p>
            <w:pPr>
              <w:jc w:val="center"/>
            </w:pPr>
            <w:r>
              <w:rPr>
                <w:color w:val="334155"/>
                <w:sz w:val="17"/>
              </w:rPr>
              <w:t>I</w:t>
            </w:r>
          </w:p>
        </w:tc>
        <w:tc>
          <w:tcPr>
            <w:tcW w:type="dxa" w:w="1152"/>
            <w:tcMar>
              <w:top w:w="140" w:type="dxa"/>
              <w:bottom w:w="140" w:type="dxa"/>
              <w:left w:w="160" w:type="dxa"/>
              <w:right w:w="160" w:type="dxa"/>
            </w:tcMar>
            <w:shd w:fill="F8FAFC"/>
          </w:tcPr>
          <w:p>
            <w:pPr>
              <w:jc w:val="center"/>
            </w:pPr>
            <w:r>
              <w:rPr>
                <w:color w:val="334155"/>
                <w:sz w:val="17"/>
              </w:rPr>
              <w:t>C</w:t>
            </w:r>
          </w:p>
        </w:tc>
        <w:tc>
          <w:tcPr>
            <w:tcW w:type="dxa" w:w="1152"/>
            <w:tcMar>
              <w:top w:w="140" w:type="dxa"/>
              <w:bottom w:w="140" w:type="dxa"/>
              <w:left w:w="160" w:type="dxa"/>
              <w:right w:w="160" w:type="dxa"/>
            </w:tcMar>
            <w:shd w:fill="F8FAFC"/>
          </w:tcPr>
          <w:p>
            <w:pPr>
              <w:jc w:val="center"/>
            </w:pPr>
            <w:r>
              <w:rPr>
                <w:color w:val="334155"/>
                <w:sz w:val="17"/>
              </w:rPr>
              <w:t>I</w:t>
            </w:r>
          </w:p>
        </w:tc>
      </w:tr>
      <w:tr>
        <w:tc>
          <w:tcPr>
            <w:tcW w:type="dxa" w:w="3024"/>
            <w:tcMar>
              <w:top w:w="140" w:type="dxa"/>
              <w:bottom w:w="140" w:type="dxa"/>
              <w:left w:w="160" w:type="dxa"/>
              <w:right w:w="160" w:type="dxa"/>
            </w:tcMar>
          </w:tcPr>
          <w:p>
            <w:r>
              <w:rPr>
                <w:color w:val="334155"/>
                <w:sz w:val="17"/>
              </w:rPr>
              <w:t>備份管理平面受控斷網 (Air-gap)</w:t>
            </w:r>
          </w:p>
        </w:tc>
        <w:tc>
          <w:tcPr>
            <w:tcW w:type="dxa" w:w="1008"/>
            <w:tcMar>
              <w:top w:w="140" w:type="dxa"/>
              <w:bottom w:w="140" w:type="dxa"/>
              <w:left w:w="160" w:type="dxa"/>
              <w:right w:w="160" w:type="dxa"/>
            </w:tcMar>
          </w:tcPr>
          <w:p>
            <w:pPr>
              <w:jc w:val="center"/>
            </w:pPr>
            <w:r>
              <w:rPr>
                <w:b/>
                <w:color w:val="0F172A"/>
                <w:sz w:val="17"/>
              </w:rPr>
              <w:t>A</w:t>
            </w:r>
          </w:p>
        </w:tc>
        <w:tc>
          <w:tcPr>
            <w:tcW w:type="dxa" w:w="1008"/>
            <w:tcMar>
              <w:top w:w="140" w:type="dxa"/>
              <w:bottom w:w="140" w:type="dxa"/>
              <w:left w:w="160" w:type="dxa"/>
              <w:right w:w="160" w:type="dxa"/>
            </w:tcMar>
          </w:tcPr>
          <w:p>
            <w:pPr>
              <w:jc w:val="center"/>
            </w:pPr>
            <w:r>
              <w:rPr>
                <w:color w:val="334155"/>
                <w:sz w:val="17"/>
              </w:rPr>
              <w:t>R</w:t>
            </w:r>
          </w:p>
        </w:tc>
        <w:tc>
          <w:tcPr>
            <w:tcW w:type="dxa" w:w="1152"/>
            <w:tcMar>
              <w:top w:w="140" w:type="dxa"/>
              <w:bottom w:w="140" w:type="dxa"/>
              <w:left w:w="160" w:type="dxa"/>
              <w:right w:w="160" w:type="dxa"/>
            </w:tcMar>
          </w:tcPr>
          <w:p>
            <w:pPr>
              <w:jc w:val="center"/>
            </w:pPr>
            <w:r>
              <w:rPr>
                <w:color w:val="334155"/>
                <w:sz w:val="17"/>
              </w:rPr>
              <w:t>I</w:t>
            </w:r>
          </w:p>
        </w:tc>
        <w:tc>
          <w:tcPr>
            <w:tcW w:type="dxa" w:w="1152"/>
            <w:tcMar>
              <w:top w:w="140" w:type="dxa"/>
              <w:bottom w:w="140" w:type="dxa"/>
              <w:left w:w="160" w:type="dxa"/>
              <w:right w:w="160" w:type="dxa"/>
            </w:tcMar>
          </w:tcPr>
          <w:p>
            <w:pPr>
              <w:jc w:val="center"/>
            </w:pPr>
            <w:r>
              <w:rPr>
                <w:color w:val="334155"/>
                <w:sz w:val="17"/>
              </w:rPr>
              <w:t>I</w:t>
            </w:r>
          </w:p>
        </w:tc>
        <w:tc>
          <w:tcPr>
            <w:tcW w:type="dxa" w:w="1152"/>
            <w:tcMar>
              <w:top w:w="140" w:type="dxa"/>
              <w:bottom w:w="140" w:type="dxa"/>
              <w:left w:w="160" w:type="dxa"/>
              <w:right w:w="160" w:type="dxa"/>
            </w:tcMar>
          </w:tcPr>
          <w:p>
            <w:pPr>
              <w:jc w:val="center"/>
            </w:pPr>
            <w:r>
              <w:rPr>
                <w:color w:val="334155"/>
                <w:sz w:val="17"/>
              </w:rPr>
              <w:t>I</w:t>
            </w:r>
          </w:p>
        </w:tc>
        <w:tc>
          <w:tcPr>
            <w:tcW w:type="dxa" w:w="1152"/>
            <w:tcMar>
              <w:top w:w="140" w:type="dxa"/>
              <w:bottom w:w="140" w:type="dxa"/>
              <w:left w:w="160" w:type="dxa"/>
              <w:right w:w="160" w:type="dxa"/>
            </w:tcMar>
          </w:tcPr>
          <w:p>
            <w:pPr>
              <w:jc w:val="center"/>
            </w:pPr>
            <w:r>
              <w:rPr>
                <w:color w:val="334155"/>
                <w:sz w:val="17"/>
              </w:rPr>
              <w:t>I</w:t>
            </w:r>
          </w:p>
        </w:tc>
      </w:tr>
      <w:tr>
        <w:tc>
          <w:tcPr>
            <w:tcW w:type="dxa" w:w="3024"/>
            <w:tcMar>
              <w:top w:w="140" w:type="dxa"/>
              <w:bottom w:w="140" w:type="dxa"/>
              <w:left w:w="160" w:type="dxa"/>
              <w:right w:w="160" w:type="dxa"/>
            </w:tcMar>
            <w:shd w:fill="F8FAFC"/>
          </w:tcPr>
          <w:p>
            <w:r>
              <w:rPr>
                <w:color w:val="334155"/>
                <w:sz w:val="17"/>
              </w:rPr>
              <w:t>全域特權身分凍結與 krbtgt 輪替</w:t>
            </w:r>
          </w:p>
        </w:tc>
        <w:tc>
          <w:tcPr>
            <w:tcW w:type="dxa" w:w="1008"/>
            <w:tcMar>
              <w:top w:w="140" w:type="dxa"/>
              <w:bottom w:w="140" w:type="dxa"/>
              <w:left w:w="160" w:type="dxa"/>
              <w:right w:w="160" w:type="dxa"/>
            </w:tcMar>
            <w:shd w:fill="F8FAFC"/>
          </w:tcPr>
          <w:p>
            <w:pPr>
              <w:jc w:val="center"/>
            </w:pPr>
            <w:r>
              <w:rPr>
                <w:b/>
                <w:color w:val="0F172A"/>
                <w:sz w:val="17"/>
              </w:rPr>
              <w:t>A</w:t>
            </w:r>
          </w:p>
        </w:tc>
        <w:tc>
          <w:tcPr>
            <w:tcW w:type="dxa" w:w="1008"/>
            <w:tcMar>
              <w:top w:w="140" w:type="dxa"/>
              <w:bottom w:w="140" w:type="dxa"/>
              <w:left w:w="160" w:type="dxa"/>
              <w:right w:w="160" w:type="dxa"/>
            </w:tcMar>
            <w:shd w:fill="F8FAFC"/>
          </w:tcPr>
          <w:p>
            <w:pPr>
              <w:jc w:val="center"/>
            </w:pPr>
            <w:r>
              <w:rPr>
                <w:color w:val="334155"/>
                <w:sz w:val="17"/>
              </w:rPr>
              <w:t>R</w:t>
            </w:r>
          </w:p>
        </w:tc>
        <w:tc>
          <w:tcPr>
            <w:tcW w:type="dxa" w:w="1152"/>
            <w:tcMar>
              <w:top w:w="140" w:type="dxa"/>
              <w:bottom w:w="140" w:type="dxa"/>
              <w:left w:w="160" w:type="dxa"/>
              <w:right w:w="160" w:type="dxa"/>
            </w:tcMar>
            <w:shd w:fill="F8FAFC"/>
          </w:tcPr>
          <w:p>
            <w:pPr>
              <w:jc w:val="center"/>
            </w:pPr>
            <w:r>
              <w:rPr>
                <w:color w:val="334155"/>
                <w:sz w:val="17"/>
              </w:rPr>
              <w:t>I</w:t>
            </w:r>
          </w:p>
        </w:tc>
        <w:tc>
          <w:tcPr>
            <w:tcW w:type="dxa" w:w="1152"/>
            <w:tcMar>
              <w:top w:w="140" w:type="dxa"/>
              <w:bottom w:w="140" w:type="dxa"/>
              <w:left w:w="160" w:type="dxa"/>
              <w:right w:w="160" w:type="dxa"/>
            </w:tcMar>
            <w:shd w:fill="F8FAFC"/>
          </w:tcPr>
          <w:p>
            <w:pPr>
              <w:jc w:val="center"/>
            </w:pPr>
            <w:r>
              <w:rPr>
                <w:color w:val="334155"/>
                <w:sz w:val="17"/>
              </w:rPr>
              <w:t>I</w:t>
            </w:r>
          </w:p>
        </w:tc>
        <w:tc>
          <w:tcPr>
            <w:tcW w:type="dxa" w:w="1152"/>
            <w:tcMar>
              <w:top w:w="140" w:type="dxa"/>
              <w:bottom w:w="140" w:type="dxa"/>
              <w:left w:w="160" w:type="dxa"/>
              <w:right w:w="160" w:type="dxa"/>
            </w:tcMar>
            <w:shd w:fill="F8FAFC"/>
          </w:tcPr>
          <w:p>
            <w:pPr>
              <w:jc w:val="center"/>
            </w:pPr>
            <w:r>
              <w:rPr>
                <w:color w:val="334155"/>
                <w:sz w:val="17"/>
              </w:rPr>
              <w:t>C</w:t>
            </w:r>
          </w:p>
        </w:tc>
        <w:tc>
          <w:tcPr>
            <w:tcW w:type="dxa" w:w="1152"/>
            <w:tcMar>
              <w:top w:w="140" w:type="dxa"/>
              <w:bottom w:w="140" w:type="dxa"/>
              <w:left w:w="160" w:type="dxa"/>
              <w:right w:w="160" w:type="dxa"/>
            </w:tcMar>
            <w:shd w:fill="F8FAFC"/>
          </w:tcPr>
          <w:p>
            <w:pPr>
              <w:jc w:val="center"/>
            </w:pPr>
            <w:r>
              <w:rPr>
                <w:color w:val="334155"/>
                <w:sz w:val="17"/>
              </w:rPr>
              <w:t>I</w:t>
            </w:r>
          </w:p>
        </w:tc>
      </w:tr>
      <w:tr>
        <w:tc>
          <w:tcPr>
            <w:tcW w:type="dxa" w:w="3024"/>
            <w:tcMar>
              <w:top w:w="140" w:type="dxa"/>
              <w:bottom w:w="140" w:type="dxa"/>
              <w:left w:w="160" w:type="dxa"/>
              <w:right w:w="160" w:type="dxa"/>
            </w:tcMar>
          </w:tcPr>
          <w:p>
            <w:r>
              <w:rPr>
                <w:color w:val="334155"/>
                <w:sz w:val="17"/>
              </w:rPr>
              <w:t>GxP / LIMS / 臨床系統資料完整性審查</w:t>
            </w:r>
          </w:p>
        </w:tc>
        <w:tc>
          <w:tcPr>
            <w:tcW w:type="dxa" w:w="1008"/>
            <w:tcMar>
              <w:top w:w="140" w:type="dxa"/>
              <w:bottom w:w="140" w:type="dxa"/>
              <w:left w:w="160" w:type="dxa"/>
              <w:right w:w="160" w:type="dxa"/>
            </w:tcMar>
          </w:tcPr>
          <w:p>
            <w:pPr>
              <w:jc w:val="center"/>
            </w:pPr>
            <w:r>
              <w:rPr>
                <w:color w:val="334155"/>
                <w:sz w:val="17"/>
              </w:rPr>
              <w:t>C</w:t>
            </w:r>
          </w:p>
        </w:tc>
        <w:tc>
          <w:tcPr>
            <w:tcW w:type="dxa" w:w="1008"/>
            <w:tcMar>
              <w:top w:w="140" w:type="dxa"/>
              <w:bottom w:w="140" w:type="dxa"/>
              <w:left w:w="160" w:type="dxa"/>
              <w:right w:w="160" w:type="dxa"/>
            </w:tcMar>
          </w:tcPr>
          <w:p>
            <w:pPr>
              <w:jc w:val="center"/>
            </w:pPr>
            <w:r>
              <w:rPr>
                <w:color w:val="334155"/>
                <w:sz w:val="17"/>
              </w:rPr>
              <w:t>C</w:t>
            </w:r>
          </w:p>
        </w:tc>
        <w:tc>
          <w:tcPr>
            <w:tcW w:type="dxa" w:w="1152"/>
            <w:tcMar>
              <w:top w:w="140" w:type="dxa"/>
              <w:bottom w:w="140" w:type="dxa"/>
              <w:left w:w="160" w:type="dxa"/>
              <w:right w:w="160" w:type="dxa"/>
            </w:tcMar>
          </w:tcPr>
          <w:p>
            <w:pPr>
              <w:jc w:val="center"/>
            </w:pPr>
            <w:r>
              <w:rPr>
                <w:b/>
                <w:color w:val="0F172A"/>
                <w:sz w:val="17"/>
              </w:rPr>
              <w:t>A/R</w:t>
            </w:r>
          </w:p>
        </w:tc>
        <w:tc>
          <w:tcPr>
            <w:tcW w:type="dxa" w:w="1152"/>
            <w:tcMar>
              <w:top w:w="140" w:type="dxa"/>
              <w:bottom w:w="140" w:type="dxa"/>
              <w:left w:w="160" w:type="dxa"/>
              <w:right w:w="160" w:type="dxa"/>
            </w:tcMar>
          </w:tcPr>
          <w:p>
            <w:pPr>
              <w:jc w:val="center"/>
            </w:pPr>
            <w:r>
              <w:rPr>
                <w:color w:val="334155"/>
                <w:sz w:val="17"/>
              </w:rPr>
              <w:t>C</w:t>
            </w:r>
          </w:p>
        </w:tc>
        <w:tc>
          <w:tcPr>
            <w:tcW w:type="dxa" w:w="1152"/>
            <w:tcMar>
              <w:top w:w="140" w:type="dxa"/>
              <w:bottom w:w="140" w:type="dxa"/>
              <w:left w:w="160" w:type="dxa"/>
              <w:right w:w="160" w:type="dxa"/>
            </w:tcMar>
          </w:tcPr>
          <w:p>
            <w:pPr>
              <w:jc w:val="center"/>
            </w:pPr>
            <w:r>
              <w:rPr>
                <w:color w:val="334155"/>
                <w:sz w:val="17"/>
              </w:rPr>
              <w:t>C</w:t>
            </w:r>
          </w:p>
        </w:tc>
        <w:tc>
          <w:tcPr>
            <w:tcW w:type="dxa" w:w="1152"/>
            <w:tcMar>
              <w:top w:w="140" w:type="dxa"/>
              <w:bottom w:w="140" w:type="dxa"/>
              <w:left w:w="160" w:type="dxa"/>
              <w:right w:w="160" w:type="dxa"/>
            </w:tcMar>
          </w:tcPr>
          <w:p>
            <w:pPr>
              <w:jc w:val="center"/>
            </w:pPr>
            <w:r>
              <w:rPr>
                <w:color w:val="334155"/>
                <w:sz w:val="17"/>
              </w:rPr>
              <w:t>I</w:t>
            </w:r>
          </w:p>
        </w:tc>
      </w:tr>
      <w:tr>
        <w:tc>
          <w:tcPr>
            <w:tcW w:type="dxa" w:w="3024"/>
            <w:tcMar>
              <w:top w:w="140" w:type="dxa"/>
              <w:bottom w:w="140" w:type="dxa"/>
              <w:left w:w="160" w:type="dxa"/>
              <w:right w:w="160" w:type="dxa"/>
            </w:tcMar>
            <w:shd w:fill="F8FAFC"/>
          </w:tcPr>
          <w:p>
            <w:r>
              <w:rPr>
                <w:color w:val="334155"/>
                <w:sz w:val="17"/>
              </w:rPr>
              <w:t>暗網外洩樣本安全比對與鑑識</w:t>
            </w:r>
          </w:p>
        </w:tc>
        <w:tc>
          <w:tcPr>
            <w:tcW w:type="dxa" w:w="1008"/>
            <w:tcMar>
              <w:top w:w="140" w:type="dxa"/>
              <w:bottom w:w="140" w:type="dxa"/>
              <w:left w:w="160" w:type="dxa"/>
              <w:right w:w="160" w:type="dxa"/>
            </w:tcMar>
            <w:shd w:fill="F8FAFC"/>
          </w:tcPr>
          <w:p>
            <w:pPr>
              <w:jc w:val="center"/>
            </w:pPr>
            <w:r>
              <w:rPr>
                <w:b/>
                <w:color w:val="0F172A"/>
                <w:sz w:val="17"/>
              </w:rPr>
              <w:t>A</w:t>
            </w:r>
          </w:p>
        </w:tc>
        <w:tc>
          <w:tcPr>
            <w:tcW w:type="dxa" w:w="1008"/>
            <w:tcMar>
              <w:top w:w="140" w:type="dxa"/>
              <w:bottom w:w="140" w:type="dxa"/>
              <w:left w:w="160" w:type="dxa"/>
              <w:right w:w="160" w:type="dxa"/>
            </w:tcMar>
            <w:shd w:fill="F8FAFC"/>
          </w:tcPr>
          <w:p>
            <w:pPr>
              <w:jc w:val="center"/>
            </w:pPr>
            <w:r>
              <w:rPr>
                <w:color w:val="334155"/>
                <w:sz w:val="17"/>
              </w:rPr>
              <w:t>C</w:t>
            </w:r>
          </w:p>
        </w:tc>
        <w:tc>
          <w:tcPr>
            <w:tcW w:type="dxa" w:w="1152"/>
            <w:tcMar>
              <w:top w:w="140" w:type="dxa"/>
              <w:bottom w:w="140" w:type="dxa"/>
              <w:left w:w="160" w:type="dxa"/>
              <w:right w:w="160" w:type="dxa"/>
            </w:tcMar>
            <w:shd w:fill="F8FAFC"/>
          </w:tcPr>
          <w:p>
            <w:pPr>
              <w:jc w:val="center"/>
            </w:pPr>
            <w:r>
              <w:rPr>
                <w:color w:val="334155"/>
                <w:sz w:val="17"/>
              </w:rPr>
              <w:t>I</w:t>
            </w:r>
          </w:p>
        </w:tc>
        <w:tc>
          <w:tcPr>
            <w:tcW w:type="dxa" w:w="1152"/>
            <w:tcMar>
              <w:top w:w="140" w:type="dxa"/>
              <w:bottom w:w="140" w:type="dxa"/>
              <w:left w:w="160" w:type="dxa"/>
              <w:right w:w="160" w:type="dxa"/>
            </w:tcMar>
            <w:shd w:fill="F8FAFC"/>
          </w:tcPr>
          <w:p>
            <w:pPr>
              <w:jc w:val="center"/>
            </w:pPr>
            <w:r>
              <w:rPr>
                <w:color w:val="334155"/>
                <w:sz w:val="17"/>
              </w:rPr>
              <w:t>C/R</w:t>
            </w:r>
          </w:p>
        </w:tc>
        <w:tc>
          <w:tcPr>
            <w:tcW w:type="dxa" w:w="1152"/>
            <w:tcMar>
              <w:top w:w="140" w:type="dxa"/>
              <w:bottom w:w="140" w:type="dxa"/>
              <w:left w:w="160" w:type="dxa"/>
              <w:right w:w="160" w:type="dxa"/>
            </w:tcMar>
            <w:shd w:fill="F8FAFC"/>
          </w:tcPr>
          <w:p>
            <w:pPr>
              <w:jc w:val="center"/>
            </w:pPr>
            <w:r>
              <w:rPr>
                <w:color w:val="334155"/>
                <w:sz w:val="17"/>
              </w:rPr>
              <w:t>I</w:t>
            </w:r>
          </w:p>
        </w:tc>
        <w:tc>
          <w:tcPr>
            <w:tcW w:type="dxa" w:w="1152"/>
            <w:tcMar>
              <w:top w:w="140" w:type="dxa"/>
              <w:bottom w:w="140" w:type="dxa"/>
              <w:left w:w="160" w:type="dxa"/>
              <w:right w:w="160" w:type="dxa"/>
            </w:tcMar>
            <w:shd w:fill="F8FAFC"/>
          </w:tcPr>
          <w:p>
            <w:pPr>
              <w:jc w:val="center"/>
            </w:pPr>
            <w:r>
              <w:rPr>
                <w:color w:val="334155"/>
                <w:sz w:val="17"/>
              </w:rPr>
              <w:t>I</w:t>
            </w:r>
          </w:p>
        </w:tc>
      </w:tr>
      <w:tr>
        <w:tc>
          <w:tcPr>
            <w:tcW w:type="dxa" w:w="3024"/>
            <w:tcMar>
              <w:top w:w="140" w:type="dxa"/>
              <w:bottom w:w="140" w:type="dxa"/>
              <w:left w:w="160" w:type="dxa"/>
              <w:right w:w="160" w:type="dxa"/>
            </w:tcMar>
          </w:tcPr>
          <w:p>
            <w:r>
              <w:rPr>
                <w:color w:val="334155"/>
                <w:sz w:val="17"/>
              </w:rPr>
              <w:t>MOPS 重大訊息發布與對外溝通</w:t>
            </w:r>
          </w:p>
        </w:tc>
        <w:tc>
          <w:tcPr>
            <w:tcW w:type="dxa" w:w="1008"/>
            <w:tcMar>
              <w:top w:w="140" w:type="dxa"/>
              <w:bottom w:w="140" w:type="dxa"/>
              <w:left w:w="160" w:type="dxa"/>
              <w:right w:w="160" w:type="dxa"/>
            </w:tcMar>
          </w:tcPr>
          <w:p>
            <w:pPr>
              <w:jc w:val="center"/>
            </w:pPr>
            <w:r>
              <w:rPr>
                <w:color w:val="334155"/>
                <w:sz w:val="17"/>
              </w:rPr>
              <w:t>C</w:t>
            </w:r>
          </w:p>
        </w:tc>
        <w:tc>
          <w:tcPr>
            <w:tcW w:type="dxa" w:w="1008"/>
            <w:tcMar>
              <w:top w:w="140" w:type="dxa"/>
              <w:bottom w:w="140" w:type="dxa"/>
              <w:left w:w="160" w:type="dxa"/>
              <w:right w:w="160" w:type="dxa"/>
            </w:tcMar>
          </w:tcPr>
          <w:p>
            <w:pPr>
              <w:jc w:val="center"/>
            </w:pPr>
            <w:r>
              <w:rPr>
                <w:color w:val="334155"/>
                <w:sz w:val="17"/>
              </w:rPr>
              <w:t>I</w:t>
            </w:r>
          </w:p>
        </w:tc>
        <w:tc>
          <w:tcPr>
            <w:tcW w:type="dxa" w:w="1152"/>
            <w:tcMar>
              <w:top w:w="140" w:type="dxa"/>
              <w:bottom w:w="140" w:type="dxa"/>
              <w:left w:w="160" w:type="dxa"/>
              <w:right w:w="160" w:type="dxa"/>
            </w:tcMar>
          </w:tcPr>
          <w:p>
            <w:pPr>
              <w:jc w:val="center"/>
            </w:pPr>
            <w:r>
              <w:rPr>
                <w:color w:val="334155"/>
                <w:sz w:val="17"/>
              </w:rPr>
              <w:t>I</w:t>
            </w:r>
          </w:p>
        </w:tc>
        <w:tc>
          <w:tcPr>
            <w:tcW w:type="dxa" w:w="1152"/>
            <w:tcMar>
              <w:top w:w="140" w:type="dxa"/>
              <w:bottom w:w="140" w:type="dxa"/>
              <w:left w:w="160" w:type="dxa"/>
              <w:right w:w="160" w:type="dxa"/>
            </w:tcMar>
          </w:tcPr>
          <w:p>
            <w:pPr>
              <w:jc w:val="center"/>
            </w:pPr>
            <w:r>
              <w:rPr>
                <w:color w:val="334155"/>
                <w:sz w:val="17"/>
              </w:rPr>
              <w:t>R</w:t>
            </w:r>
          </w:p>
        </w:tc>
        <w:tc>
          <w:tcPr>
            <w:tcW w:type="dxa" w:w="1152"/>
            <w:tcMar>
              <w:top w:w="140" w:type="dxa"/>
              <w:bottom w:w="140" w:type="dxa"/>
              <w:left w:w="160" w:type="dxa"/>
              <w:right w:w="160" w:type="dxa"/>
            </w:tcMar>
          </w:tcPr>
          <w:p>
            <w:pPr>
              <w:jc w:val="center"/>
            </w:pPr>
            <w:r>
              <w:rPr>
                <w:color w:val="334155"/>
                <w:sz w:val="17"/>
              </w:rPr>
              <w:t>C</w:t>
            </w:r>
          </w:p>
        </w:tc>
        <w:tc>
          <w:tcPr>
            <w:tcW w:type="dxa" w:w="1152"/>
            <w:tcMar>
              <w:top w:w="140" w:type="dxa"/>
              <w:bottom w:w="140" w:type="dxa"/>
              <w:left w:w="160" w:type="dxa"/>
              <w:right w:w="160" w:type="dxa"/>
            </w:tcMar>
          </w:tcPr>
          <w:p>
            <w:pPr>
              <w:jc w:val="center"/>
            </w:pPr>
            <w:r>
              <w:rPr>
                <w:b/>
                <w:color w:val="0F172A"/>
                <w:sz w:val="17"/>
              </w:rPr>
              <w:t>A</w:t>
            </w:r>
          </w:p>
        </w:tc>
      </w:tr>
      <w:tr>
        <w:tc>
          <w:tcPr>
            <w:tcW w:type="dxa" w:w="3024"/>
            <w:tcMar>
              <w:top w:w="140" w:type="dxa"/>
              <w:bottom w:w="140" w:type="dxa"/>
              <w:left w:w="160" w:type="dxa"/>
              <w:right w:w="160" w:type="dxa"/>
            </w:tcMar>
            <w:shd w:fill="F8FAFC"/>
          </w:tcPr>
          <w:p>
            <w:r>
              <w:rPr>
                <w:color w:val="334155"/>
                <w:sz w:val="17"/>
              </w:rPr>
              <w:t>GxP / Tier-0 系統復線安全簽核</w:t>
            </w:r>
          </w:p>
        </w:tc>
        <w:tc>
          <w:tcPr>
            <w:tcW w:type="dxa" w:w="1008"/>
            <w:tcMar>
              <w:top w:w="140" w:type="dxa"/>
              <w:bottom w:w="140" w:type="dxa"/>
              <w:left w:w="160" w:type="dxa"/>
              <w:right w:w="160" w:type="dxa"/>
            </w:tcMar>
            <w:shd w:fill="F8FAFC"/>
          </w:tcPr>
          <w:p>
            <w:pPr>
              <w:jc w:val="center"/>
            </w:pPr>
            <w:r>
              <w:rPr>
                <w:b/>
                <w:color w:val="0F172A"/>
                <w:sz w:val="17"/>
              </w:rPr>
              <w:t>A</w:t>
            </w:r>
          </w:p>
        </w:tc>
        <w:tc>
          <w:tcPr>
            <w:tcW w:type="dxa" w:w="1008"/>
            <w:tcMar>
              <w:top w:w="140" w:type="dxa"/>
              <w:bottom w:w="140" w:type="dxa"/>
              <w:left w:w="160" w:type="dxa"/>
              <w:right w:w="160" w:type="dxa"/>
            </w:tcMar>
            <w:shd w:fill="F8FAFC"/>
          </w:tcPr>
          <w:p>
            <w:pPr>
              <w:jc w:val="center"/>
            </w:pPr>
            <w:r>
              <w:rPr>
                <w:color w:val="334155"/>
                <w:sz w:val="17"/>
              </w:rPr>
              <w:t>R</w:t>
            </w:r>
          </w:p>
        </w:tc>
        <w:tc>
          <w:tcPr>
            <w:tcW w:type="dxa" w:w="1152"/>
            <w:tcMar>
              <w:top w:w="140" w:type="dxa"/>
              <w:bottom w:w="140" w:type="dxa"/>
              <w:left w:w="160" w:type="dxa"/>
              <w:right w:w="160" w:type="dxa"/>
            </w:tcMar>
            <w:shd w:fill="F8FAFC"/>
          </w:tcPr>
          <w:p>
            <w:pPr>
              <w:jc w:val="center"/>
            </w:pPr>
            <w:r>
              <w:rPr>
                <w:b/>
                <w:color w:val="0F172A"/>
                <w:sz w:val="17"/>
              </w:rPr>
              <w:t>A</w:t>
            </w:r>
          </w:p>
        </w:tc>
        <w:tc>
          <w:tcPr>
            <w:tcW w:type="dxa" w:w="1152"/>
            <w:tcMar>
              <w:top w:w="140" w:type="dxa"/>
              <w:bottom w:w="140" w:type="dxa"/>
              <w:left w:w="160" w:type="dxa"/>
              <w:right w:w="160" w:type="dxa"/>
            </w:tcMar>
            <w:shd w:fill="F8FAFC"/>
          </w:tcPr>
          <w:p>
            <w:pPr>
              <w:jc w:val="center"/>
            </w:pPr>
            <w:r>
              <w:rPr>
                <w:color w:val="334155"/>
                <w:sz w:val="17"/>
              </w:rPr>
              <w:t>C</w:t>
            </w:r>
          </w:p>
        </w:tc>
        <w:tc>
          <w:tcPr>
            <w:tcW w:type="dxa" w:w="1152"/>
            <w:tcMar>
              <w:top w:w="140" w:type="dxa"/>
              <w:bottom w:w="140" w:type="dxa"/>
              <w:left w:w="160" w:type="dxa"/>
              <w:right w:w="160" w:type="dxa"/>
            </w:tcMar>
            <w:shd w:fill="F8FAFC"/>
          </w:tcPr>
          <w:p>
            <w:pPr>
              <w:jc w:val="center"/>
            </w:pPr>
            <w:r>
              <w:rPr>
                <w:b/>
                <w:color w:val="0F172A"/>
                <w:sz w:val="17"/>
              </w:rPr>
              <w:t>A</w:t>
            </w:r>
          </w:p>
        </w:tc>
        <w:tc>
          <w:tcPr>
            <w:tcW w:type="dxa" w:w="1152"/>
            <w:tcMar>
              <w:top w:w="140" w:type="dxa"/>
              <w:bottom w:w="140" w:type="dxa"/>
              <w:left w:w="160" w:type="dxa"/>
              <w:right w:w="160" w:type="dxa"/>
            </w:tcMar>
            <w:shd w:fill="F8FAFC"/>
          </w:tcPr>
          <w:p>
            <w:pPr>
              <w:jc w:val="center"/>
            </w:pPr>
            <w:r>
              <w:rPr>
                <w:color w:val="334155"/>
                <w:sz w:val="17"/>
              </w:rPr>
              <w:t>I</w:t>
            </w:r>
          </w:p>
        </w:tc>
      </w:tr>
    </w:tbl>
    <w:p>
      <w:pPr>
        <w:spacing w:after="120"/>
      </w:pPr>
    </w:p>
    <w:p>
      <w:pPr>
        <w:keepNext/>
        <w:spacing w:before="320" w:after="120"/>
      </w:pPr>
      <w:r>
        <w:rPr>
          <w:b/>
          <w:color w:val="0F172A"/>
          <w:sz w:val="27"/>
        </w:rPr>
        <w:t>三、 四大技術主管全域資產盤點標準作業程序 (Technical Audit SOPs)</w:t>
      </w:r>
    </w:p>
    <w:p>
      <w:pPr>
        <w:spacing w:after="80" w:line="276" w:lineRule="auto"/>
      </w:pPr>
      <w:r>
        <w:rPr>
          <w:color w:val="334155"/>
          <w:sz w:val="19"/>
        </w:rPr>
        <w:t>當事件發生時，CISO 即刻啟動四大技術主管進行標準化盤點作業（Audit Checklist），並限期 2–4 小時內產出初步盤點清冊：</w:t>
      </w:r>
    </w:p>
    <w:tbl>
      <w:tblPr>
        <w:tblW w:type="auto" w:w="0"/>
        <w:jc w:val="center"/>
        <w:tblLook w:firstColumn="1" w:firstRow="1" w:lastColumn="0" w:lastRow="0" w:noHBand="0" w:noVBand="1" w:val="04A0"/>
      </w:tblPr>
      <w:tblGrid>
        <w:gridCol w:w="2340"/>
        <w:gridCol w:w="2340"/>
        <w:gridCol w:w="2340"/>
        <w:gridCol w:w="2340"/>
      </w:tblGrid>
      <w:tr>
        <w:tc>
          <w:tcPr>
            <w:tcW w:type="dxa" w:w="1440"/>
            <w:shd w:fill="0F172A"/>
            <w:tcMar>
              <w:top w:w="140" w:type="dxa"/>
              <w:bottom w:w="140" w:type="dxa"/>
              <w:left w:w="160" w:type="dxa"/>
              <w:right w:w="160" w:type="dxa"/>
            </w:tcMar>
          </w:tcPr>
          <w:p>
            <w:pPr>
              <w:jc w:val="center"/>
            </w:pPr>
            <w:r>
              <w:rPr>
                <w:b/>
                <w:color w:val="FFFFFF"/>
                <w:sz w:val="19"/>
              </w:rPr>
              <w:t>技術兵種</w:t>
            </w:r>
          </w:p>
        </w:tc>
        <w:tc>
          <w:tcPr>
            <w:tcW w:type="dxa" w:w="1584"/>
            <w:shd w:fill="0F172A"/>
            <w:tcMar>
              <w:top w:w="140" w:type="dxa"/>
              <w:bottom w:w="140" w:type="dxa"/>
              <w:left w:w="160" w:type="dxa"/>
              <w:right w:w="160" w:type="dxa"/>
            </w:tcMar>
          </w:tcPr>
          <w:p>
            <w:pPr>
              <w:jc w:val="center"/>
            </w:pPr>
            <w:r>
              <w:rPr>
                <w:b/>
                <w:color w:val="FFFFFF"/>
                <w:sz w:val="19"/>
              </w:rPr>
              <w:t>主管角色</w:t>
            </w:r>
          </w:p>
        </w:tc>
        <w:tc>
          <w:tcPr>
            <w:tcW w:type="dxa" w:w="3168"/>
            <w:shd w:fill="0F172A"/>
            <w:tcMar>
              <w:top w:w="140" w:type="dxa"/>
              <w:bottom w:w="140" w:type="dxa"/>
              <w:left w:w="160" w:type="dxa"/>
              <w:right w:w="160" w:type="dxa"/>
            </w:tcMar>
          </w:tcPr>
          <w:p>
            <w:pPr>
              <w:jc w:val="center"/>
            </w:pPr>
            <w:r>
              <w:rPr>
                <w:b/>
                <w:color w:val="FFFFFF"/>
                <w:sz w:val="19"/>
              </w:rPr>
              <w:t>資產盤點作業項目 (Audit Tasks)</w:t>
            </w:r>
          </w:p>
        </w:tc>
        <w:tc>
          <w:tcPr>
            <w:tcW w:type="dxa" w:w="3168"/>
            <w:shd w:fill="0F172A"/>
            <w:tcMar>
              <w:top w:w="140" w:type="dxa"/>
              <w:bottom w:w="140" w:type="dxa"/>
              <w:left w:w="160" w:type="dxa"/>
              <w:right w:w="160" w:type="dxa"/>
            </w:tcMar>
          </w:tcPr>
          <w:p>
            <w:pPr>
              <w:jc w:val="center"/>
            </w:pPr>
            <w:r>
              <w:rPr>
                <w:b/>
                <w:color w:val="FFFFFF"/>
                <w:sz w:val="19"/>
              </w:rPr>
              <w:t>檢核工具與產出清冊 (Artifacts)</w:t>
            </w:r>
          </w:p>
        </w:tc>
      </w:tr>
      <w:tr>
        <w:tc>
          <w:tcPr>
            <w:tcW w:type="dxa" w:w="1440"/>
            <w:tcMar>
              <w:top w:w="140" w:type="dxa"/>
              <w:bottom w:w="140" w:type="dxa"/>
              <w:left w:w="160" w:type="dxa"/>
              <w:right w:w="160" w:type="dxa"/>
            </w:tcMar>
          </w:tcPr>
          <w:p>
            <w:r>
              <w:rPr>
                <w:color w:val="334155"/>
                <w:sz w:val="17"/>
              </w:rPr>
              <w:t>網路通訊</w:t>
              <w:br/>
              <w:t>(Network)</w:t>
            </w:r>
          </w:p>
        </w:tc>
        <w:tc>
          <w:tcPr>
            <w:tcW w:type="dxa" w:w="1584"/>
            <w:tcMar>
              <w:top w:w="140" w:type="dxa"/>
              <w:bottom w:w="140" w:type="dxa"/>
              <w:left w:w="160" w:type="dxa"/>
              <w:right w:w="160" w:type="dxa"/>
            </w:tcMar>
          </w:tcPr>
          <w:p>
            <w:r>
              <w:rPr>
                <w:color w:val="334155"/>
                <w:sz w:val="17"/>
              </w:rPr>
              <w:t>網路主管</w:t>
            </w:r>
          </w:p>
        </w:tc>
        <w:tc>
          <w:tcPr>
            <w:tcW w:type="dxa" w:w="3168"/>
            <w:tcMar>
              <w:top w:w="140" w:type="dxa"/>
              <w:bottom w:w="140" w:type="dxa"/>
              <w:left w:w="160" w:type="dxa"/>
              <w:right w:w="160" w:type="dxa"/>
            </w:tcMar>
          </w:tcPr>
          <w:p>
            <w:r>
              <w:rPr>
                <w:color w:val="334155"/>
                <w:sz w:val="17"/>
              </w:rPr>
              <w:t>• 盤點所有公網 IP、NAT 轉發埠、VPN Gateway。</w:t>
              <w:br/>
              <w:t>• 清查母公司與泛泰醫療、海外據點之 Site-to-Site 專線。</w:t>
              <w:br/>
              <w:t>• 檢查邊界防火牆、Proxy、DNS RPZ 阻斷日誌狀態。</w:t>
            </w:r>
          </w:p>
        </w:tc>
        <w:tc>
          <w:tcPr>
            <w:tcW w:type="dxa" w:w="3168"/>
            <w:tcMar>
              <w:top w:w="140" w:type="dxa"/>
              <w:bottom w:w="140" w:type="dxa"/>
              <w:left w:w="160" w:type="dxa"/>
              <w:right w:w="160" w:type="dxa"/>
            </w:tcMar>
          </w:tcPr>
          <w:p>
            <w:r>
              <w:rPr>
                <w:color w:val="334155"/>
                <w:sz w:val="17"/>
              </w:rPr>
              <w:t>• 工具：Shodan/EASM、FortiManager、Infoblox。</w:t>
              <w:br/>
              <w:t>• 產出：《外部暴露面清冊》、《跨據點連線隔離狀態表》。</w:t>
            </w:r>
          </w:p>
        </w:tc>
      </w:tr>
      <w:tr>
        <w:tc>
          <w:tcPr>
            <w:tcW w:type="dxa" w:w="1440"/>
            <w:tcMar>
              <w:top w:w="140" w:type="dxa"/>
              <w:bottom w:w="140" w:type="dxa"/>
              <w:left w:w="160" w:type="dxa"/>
              <w:right w:w="160" w:type="dxa"/>
            </w:tcMar>
            <w:shd w:fill="F8FAFC"/>
          </w:tcPr>
          <w:p>
            <w:r>
              <w:rPr>
                <w:color w:val="334155"/>
                <w:sz w:val="17"/>
              </w:rPr>
              <w:t>基礎架構</w:t>
              <w:br/>
              <w:t>(Infra)</w:t>
            </w:r>
          </w:p>
        </w:tc>
        <w:tc>
          <w:tcPr>
            <w:tcW w:type="dxa" w:w="1584"/>
            <w:tcMar>
              <w:top w:w="140" w:type="dxa"/>
              <w:bottom w:w="140" w:type="dxa"/>
              <w:left w:w="160" w:type="dxa"/>
              <w:right w:w="160" w:type="dxa"/>
            </w:tcMar>
            <w:shd w:fill="F8FAFC"/>
          </w:tcPr>
          <w:p>
            <w:r>
              <w:rPr>
                <w:color w:val="334155"/>
                <w:sz w:val="17"/>
              </w:rPr>
              <w:t>硬體主管</w:t>
            </w:r>
          </w:p>
        </w:tc>
        <w:tc>
          <w:tcPr>
            <w:tcW w:type="dxa" w:w="3168"/>
            <w:tcMar>
              <w:top w:w="140" w:type="dxa"/>
              <w:bottom w:w="140" w:type="dxa"/>
              <w:left w:w="160" w:type="dxa"/>
              <w:right w:w="160" w:type="dxa"/>
            </w:tcMar>
            <w:shd w:fill="F8FAFC"/>
          </w:tcPr>
          <w:p>
            <w:r>
              <w:rPr>
                <w:color w:val="334155"/>
                <w:sz w:val="17"/>
              </w:rPr>
              <w:t>• 盤點 VMware ESXi / Hyper-V 主機與 Storage 狀態。</w:t>
              <w:br/>
              <w:t>• 清查不可變備份庫（S3 Object Lock / WORM）健康度。</w:t>
              <w:br/>
              <w:t>• 盤點工廠 BMS、機房電力與實體主機運行狀態。</w:t>
            </w:r>
          </w:p>
        </w:tc>
        <w:tc>
          <w:tcPr>
            <w:tcW w:type="dxa" w:w="3168"/>
            <w:tcMar>
              <w:top w:w="140" w:type="dxa"/>
              <w:bottom w:w="140" w:type="dxa"/>
              <w:left w:w="160" w:type="dxa"/>
              <w:right w:w="160" w:type="dxa"/>
            </w:tcMar>
            <w:shd w:fill="F8FAFC"/>
          </w:tcPr>
          <w:p>
            <w:r>
              <w:rPr>
                <w:color w:val="334155"/>
                <w:sz w:val="17"/>
              </w:rPr>
              <w:t>• 工具：vCenter、Veeam Console、AWS CLI。</w:t>
              <w:br/>
              <w:t>• 產出：《虛擬機隔離狀態表》、《不可變備份乾淨還原點清單》。</w:t>
            </w:r>
          </w:p>
        </w:tc>
      </w:tr>
      <w:tr>
        <w:tc>
          <w:tcPr>
            <w:tcW w:type="dxa" w:w="1440"/>
            <w:tcMar>
              <w:top w:w="140" w:type="dxa"/>
              <w:bottom w:w="140" w:type="dxa"/>
              <w:left w:w="160" w:type="dxa"/>
              <w:right w:w="160" w:type="dxa"/>
            </w:tcMar>
          </w:tcPr>
          <w:p>
            <w:r>
              <w:rPr>
                <w:color w:val="334155"/>
                <w:sz w:val="17"/>
              </w:rPr>
              <w:t>資安運維</w:t>
              <w:br/>
              <w:t>(SecOps)</w:t>
            </w:r>
          </w:p>
        </w:tc>
        <w:tc>
          <w:tcPr>
            <w:tcW w:type="dxa" w:w="1584"/>
            <w:tcMar>
              <w:top w:w="140" w:type="dxa"/>
              <w:bottom w:w="140" w:type="dxa"/>
              <w:left w:w="160" w:type="dxa"/>
              <w:right w:w="160" w:type="dxa"/>
            </w:tcMar>
          </w:tcPr>
          <w:p>
            <w:r>
              <w:rPr>
                <w:color w:val="334155"/>
                <w:sz w:val="17"/>
              </w:rPr>
              <w:t>資安主管</w:t>
            </w:r>
          </w:p>
        </w:tc>
        <w:tc>
          <w:tcPr>
            <w:tcW w:type="dxa" w:w="3168"/>
            <w:tcMar>
              <w:top w:w="140" w:type="dxa"/>
              <w:bottom w:w="140" w:type="dxa"/>
              <w:left w:w="160" w:type="dxa"/>
              <w:right w:w="160" w:type="dxa"/>
            </w:tcMar>
          </w:tcPr>
          <w:p>
            <w:r>
              <w:rPr>
                <w:color w:val="334155"/>
                <w:sz w:val="17"/>
              </w:rPr>
              <w:t>• 清查全域 EDR/XDR 安裝覆蓋率與未納管盲點設備。</w:t>
              <w:br/>
              <w:t>• 提取 SIEM 近 72h 橫向移動與特權提權告警。</w:t>
              <w:br/>
              <w:t>• 監控暗網論壇與仿冒網域（Typosquatting）。</w:t>
            </w:r>
          </w:p>
        </w:tc>
        <w:tc>
          <w:tcPr>
            <w:tcW w:type="dxa" w:w="3168"/>
            <w:tcMar>
              <w:top w:w="140" w:type="dxa"/>
              <w:bottom w:w="140" w:type="dxa"/>
              <w:left w:w="160" w:type="dxa"/>
              <w:right w:w="160" w:type="dxa"/>
            </w:tcMar>
          </w:tcPr>
          <w:p>
            <w:r>
              <w:rPr>
                <w:color w:val="334155"/>
                <w:sz w:val="17"/>
              </w:rPr>
              <w:t>• 工具：CrowdStrike/Defender、Splunk/Sentinel。</w:t>
              <w:br/>
              <w:t>• 產出：《全域 EDR 涵蓋率清冊》、《受害主機 IOC 關聯圖》。</w:t>
            </w:r>
          </w:p>
        </w:tc>
      </w:tr>
      <w:tr>
        <w:tc>
          <w:tcPr>
            <w:tcW w:type="dxa" w:w="1440"/>
            <w:tcMar>
              <w:top w:w="140" w:type="dxa"/>
              <w:bottom w:w="140" w:type="dxa"/>
              <w:left w:w="160" w:type="dxa"/>
              <w:right w:w="160" w:type="dxa"/>
            </w:tcMar>
            <w:shd w:fill="F8FAFC"/>
          </w:tcPr>
          <w:p>
            <w:r>
              <w:rPr>
                <w:color w:val="334155"/>
                <w:sz w:val="17"/>
              </w:rPr>
              <w:t>企業應用</w:t>
              <w:br/>
              <w:t>(Apps/MIS)</w:t>
            </w:r>
          </w:p>
        </w:tc>
        <w:tc>
          <w:tcPr>
            <w:tcW w:type="dxa" w:w="1584"/>
            <w:tcMar>
              <w:top w:w="140" w:type="dxa"/>
              <w:bottom w:w="140" w:type="dxa"/>
              <w:left w:w="160" w:type="dxa"/>
              <w:right w:w="160" w:type="dxa"/>
            </w:tcMar>
            <w:shd w:fill="F8FAFC"/>
          </w:tcPr>
          <w:p>
            <w:r>
              <w:rPr>
                <w:color w:val="334155"/>
                <w:sz w:val="17"/>
              </w:rPr>
              <w:t>MIS 主管</w:t>
            </w:r>
          </w:p>
        </w:tc>
        <w:tc>
          <w:tcPr>
            <w:tcW w:type="dxa" w:w="3168"/>
            <w:tcMar>
              <w:top w:w="140" w:type="dxa"/>
              <w:bottom w:w="140" w:type="dxa"/>
              <w:left w:w="160" w:type="dxa"/>
              <w:right w:w="160" w:type="dxa"/>
            </w:tcMar>
            <w:shd w:fill="F8FAFC"/>
          </w:tcPr>
          <w:p>
            <w:r>
              <w:rPr>
                <w:color w:val="334155"/>
                <w:sz w:val="17"/>
              </w:rPr>
              <w:t>• 盤點 AD / Entra ID Domain Admins 與委外廠商帳號。</w:t>
              <w:br/>
              <w:t>• 清查 ERP、PLM、LIMS、人事薪資資料庫存取日誌。</w:t>
              <w:br/>
              <w:t>• 盤點 Golden Image 映像檔與程式原始碼版本。</w:t>
            </w:r>
          </w:p>
        </w:tc>
        <w:tc>
          <w:tcPr>
            <w:tcW w:type="dxa" w:w="3168"/>
            <w:tcMar>
              <w:top w:w="140" w:type="dxa"/>
              <w:bottom w:w="140" w:type="dxa"/>
              <w:left w:w="160" w:type="dxa"/>
              <w:right w:w="160" w:type="dxa"/>
            </w:tcMar>
            <w:shd w:fill="F8FAFC"/>
          </w:tcPr>
          <w:p>
            <w:r>
              <w:rPr>
                <w:color w:val="334155"/>
                <w:sz w:val="17"/>
              </w:rPr>
              <w:t>• 工具：BloodHound、Active Directory Users、SAP GRC。</w:t>
              <w:br/>
              <w:t>• 產出：《特權帳號盤點清冊》、《核心系統資料機密等級矩陣》。</w:t>
            </w:r>
          </w:p>
        </w:tc>
      </w:tr>
    </w:tbl>
    <w:p>
      <w:pPr>
        <w:spacing w:after="120"/>
      </w:pPr>
    </w:p>
    <w:p>
      <w:pPr>
        <w:keepNext/>
        <w:spacing w:before="320" w:after="120"/>
      </w:pPr>
      <w:r>
        <w:rPr>
          <w:b/>
          <w:color w:val="0F172A"/>
          <w:sz w:val="27"/>
        </w:rPr>
        <w:t>四、 生技製藥 GxP 與王冠資產專屬盤點程序</w:t>
      </w:r>
    </w:p>
    <w:p>
      <w:pPr>
        <w:spacing w:after="80" w:line="276" w:lineRule="auto"/>
      </w:pPr>
      <w:r>
        <w:rPr>
          <w:color w:val="334155"/>
          <w:sz w:val="19"/>
        </w:rPr>
        <w:t>藥華醫藥作為國際新藥研發與製造藥廠，必須將生醫合規與資料完整性（Data Integrity）納入核心盤點程序：</w:t>
      </w: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180" w:type="dxa"/>
              <w:right w:w="180" w:type="dxa"/>
            </w:tcMar>
          </w:tcPr>
          <w:p>
            <w:pPr>
              <w:spacing w:line="276" w:lineRule="auto"/>
            </w:pPr>
            <w:r>
              <w:rPr>
                <w:b/>
                <w:color w:val="0F172A"/>
                <w:sz w:val="19"/>
              </w:rPr>
              <w:t>【生技製藥專屬盤點檢核清單 (GxP Audit Checklist)】</w:t>
              <w:br/>
            </w:r>
            <w:r>
              <w:rPr>
                <w:color w:val="334155"/>
                <w:sz w:val="18"/>
              </w:rPr>
              <w:t>1. 台中蛋白質新藥廠（GMP 生產線）盤點：</w:t>
              <w:br/>
              <w:t xml:space="preserve">   • 驗證 SCADA / PLC / BMS 控制網路與企業 IT 辦公網路之 Purdue Model 實體隔離性。</w:t>
              <w:br/>
              <w:t xml:space="preserve">   • 檢視無菌充填與生物反應器控制器組態，確認生產批次製造紀錄（eBR）未受任何外部篡改。</w:t>
              <w:br/>
              <w:t>2. 臨床試驗數據（GCP）與受試者隱私盤點：</w:t>
              <w:br/>
              <w:t xml:space="preserve">   • 盤點臨床試驗電子數據擷取系統（EDC）與 eTMF 試驗主文檔存取日誌。</w:t>
              <w:br/>
              <w:t xml:space="preserve">   • 確認受試者去識別化對照表（De-identification Key）存放於獨立加密金庫，未被導出。</w:t>
              <w:br/>
              <w:t>3. 核心專利與 CMC 研發智財盤點：</w:t>
              <w:br/>
              <w:t xml:space="preserve">   • 盤點 Besremi®（P1101）分子結構專利草稿、CMC 製造管制參數、分析方法驗證資料夾。</w:t>
              <w:br/>
              <w:t xml:space="preserve">   • 確實驗證底層結構化資料庫加密金鑰（CMK）狀態，比對 DLP 存取日誌有無異常大流量 Egress。</w:t>
              <w:br/>
              <w:t>4. FDA 21 CFR Part 11 Audit Trail 完整性審查：</w:t>
              <w:br/>
              <w:t xml:space="preserve">   • 由 QA 與 CSV 專員逐一導出 LIMS / CDS（層析數據系統）近 30 天之稽核軌跡（Audit Trail）。</w:t>
              <w:br/>
              <w:t xml:space="preserve">   • 確認所有電子紀錄與電子簽章未出現時間戳跳躍、未授權刪除或覆寫情事。</w:t>
            </w:r>
          </w:p>
        </w:tc>
      </w:tr>
    </w:tbl>
    <w:p>
      <w:pPr>
        <w:spacing w:after="80"/>
      </w:pPr>
    </w:p>
    <w:p>
      <w:pPr>
        <w:keepNext/>
        <w:spacing w:before="320" w:after="120"/>
      </w:pPr>
      <w:r>
        <w:rPr>
          <w:b/>
          <w:color w:val="0F172A"/>
          <w:sz w:val="27"/>
        </w:rPr>
        <w:t>五、 跨國子公司與供應鏈邊界清查程序 (Subsidiaries &amp; SCRM)</w:t>
      </w:r>
    </w:p>
    <w:p>
      <w:pPr>
        <w:spacing w:after="80" w:line="276" w:lineRule="auto"/>
      </w:pPr>
      <w:r>
        <w:rPr>
          <w:color w:val="334155"/>
          <w:sz w:val="19"/>
        </w:rPr>
        <w:t>針對本次事件牽涉之子公司「泛泰醫療」及海外分支機構，實施標準化邊界阻斷與審查流程：</w:t>
      </w:r>
    </w:p>
    <w:p>
      <w:pPr>
        <w:spacing w:after="80" w:line="276" w:lineRule="auto"/>
      </w:pPr>
      <w:r>
        <w:rPr>
          <w:b/>
          <w:color w:val="0F172A"/>
          <w:sz w:val="19"/>
        </w:rPr>
        <w:t>1. 子公司清查：</w:t>
      </w:r>
      <w:r>
        <w:rPr>
          <w:color w:val="334155"/>
          <w:sz w:val="19"/>
        </w:rPr>
        <w:t>• 泛泰醫療（Pan-Tai Medical）邊界收斂：即刻清查泛泰醫療內部 AD 網域架構，中斷其與藥華藥總部間之雙向目錄信任（Domain Trust）與 Site-to-Site VPN 專線；全面清查泛泰醫療所有伺服器與端點，部署 EDR Agent 並納入統一 SOC 監控。</w:t>
      </w:r>
    </w:p>
    <w:p>
      <w:pPr>
        <w:spacing w:after="80" w:line="276" w:lineRule="auto"/>
      </w:pPr>
      <w:r>
        <w:rPr>
          <w:b/>
          <w:color w:val="0F172A"/>
          <w:sz w:val="19"/>
        </w:rPr>
        <w:t>2. 海外據點查核：</w:t>
      </w:r>
      <w:r>
        <w:rPr>
          <w:color w:val="334155"/>
          <w:sz w:val="19"/>
        </w:rPr>
        <w:t>• 跨國分支機構（美、日、歐、中）查核：清查美國 Boston、日本東京等海外營運據點之 IAM 存取日誌，強制海外員工全面啟用 FIDO2 / WebAuthn 抗釣魚多因子驗證，防止攻擊者利用海外帳號作為橫向跳板。</w:t>
      </w:r>
    </w:p>
    <w:p>
      <w:pPr>
        <w:spacing w:after="80" w:line="276" w:lineRule="auto"/>
      </w:pPr>
      <w:r>
        <w:rPr>
          <w:b/>
          <w:color w:val="0F172A"/>
          <w:sz w:val="19"/>
        </w:rPr>
        <w:t>3. 供應鏈聯防：</w:t>
      </w:r>
      <w:r>
        <w:rPr>
          <w:color w:val="334155"/>
          <w:sz w:val="19"/>
        </w:rPr>
        <w:t>• 關鍵供應商（CRO / CDMO / SaaS）通報：向合作之臨床試驗 CRO 機構、CDMO 製造夥伴及雲端服務商（AWS / M365）發出資安通報，要求其比對攻擊者 IOC 特徵並確認日誌保留狀態。</w:t>
      </w:r>
    </w:p>
    <w:p>
      <w:pPr>
        <w:keepNext/>
        <w:spacing w:before="320" w:after="120"/>
      </w:pPr>
      <w:r>
        <w:rPr>
          <w:b/>
          <w:color w:val="0F172A"/>
          <w:sz w:val="27"/>
        </w:rPr>
        <w:t>六、 盤點產出：受害資產矩陣與安全復線放行門檻 (Quality Gates)</w:t>
      </w:r>
    </w:p>
    <w:p>
      <w:pPr>
        <w:spacing w:after="80" w:line="276" w:lineRule="auto"/>
      </w:pPr>
      <w:r>
        <w:rPr>
          <w:color w:val="334155"/>
          <w:sz w:val="19"/>
        </w:rPr>
        <w:t>盤點完成後，CSIRT 彙整產出《受害資產矩陣》，並依五大品質門檻（Quality Gates）作為逐段上線依據：</w:t>
      </w:r>
    </w:p>
    <w:tbl>
      <w:tblPr>
        <w:tblW w:type="auto" w:w="0"/>
        <w:jc w:val="center"/>
        <w:tblLook w:firstColumn="1" w:firstRow="1" w:lastColumn="0" w:lastRow="0" w:noHBand="0" w:noVBand="1" w:val="04A0"/>
      </w:tblPr>
      <w:tblGrid>
        <w:gridCol w:w="3120"/>
        <w:gridCol w:w="3120"/>
        <w:gridCol w:w="3120"/>
      </w:tblGrid>
      <w:tr>
        <w:tc>
          <w:tcPr>
            <w:tcW w:type="dxa" w:w="2592"/>
            <w:shd w:fill="0F172A"/>
            <w:tcMar>
              <w:top w:w="140" w:type="dxa"/>
              <w:bottom w:w="140" w:type="dxa"/>
              <w:left w:w="160" w:type="dxa"/>
              <w:right w:w="160" w:type="dxa"/>
            </w:tcMar>
          </w:tcPr>
          <w:p>
            <w:pPr>
              <w:jc w:val="center"/>
            </w:pPr>
            <w:r>
              <w:rPr>
                <w:b/>
                <w:color w:val="FFFFFF"/>
                <w:sz w:val="19"/>
              </w:rPr>
              <w:t>復原放行門檻 (Quality Gate)</w:t>
            </w:r>
          </w:p>
        </w:tc>
        <w:tc>
          <w:tcPr>
            <w:tcW w:type="dxa" w:w="3888"/>
            <w:shd w:fill="0F172A"/>
            <w:tcMar>
              <w:top w:w="140" w:type="dxa"/>
              <w:bottom w:w="140" w:type="dxa"/>
              <w:left w:w="160" w:type="dxa"/>
              <w:right w:w="160" w:type="dxa"/>
            </w:tcMar>
          </w:tcPr>
          <w:p>
            <w:pPr>
              <w:jc w:val="center"/>
            </w:pPr>
            <w:r>
              <w:rPr>
                <w:b/>
                <w:color w:val="FFFFFF"/>
                <w:sz w:val="19"/>
              </w:rPr>
              <w:t>驗證標準與技術指標</w:t>
            </w:r>
          </w:p>
        </w:tc>
        <w:tc>
          <w:tcPr>
            <w:tcW w:type="dxa" w:w="2880"/>
            <w:shd w:fill="0F172A"/>
            <w:tcMar>
              <w:top w:w="140" w:type="dxa"/>
              <w:bottom w:w="140" w:type="dxa"/>
              <w:left w:w="160" w:type="dxa"/>
              <w:right w:w="160" w:type="dxa"/>
            </w:tcMar>
          </w:tcPr>
          <w:p>
            <w:pPr>
              <w:jc w:val="center"/>
            </w:pPr>
            <w:r>
              <w:rPr>
                <w:b/>
                <w:color w:val="FFFFFF"/>
                <w:sz w:val="19"/>
              </w:rPr>
              <w:t>簽核角色與責任人</w:t>
            </w:r>
          </w:p>
        </w:tc>
      </w:tr>
      <w:tr>
        <w:tc>
          <w:tcPr>
            <w:tcW w:type="dxa" w:w="2592"/>
            <w:tcMar>
              <w:top w:w="140" w:type="dxa"/>
              <w:bottom w:w="140" w:type="dxa"/>
              <w:left w:w="160" w:type="dxa"/>
              <w:right w:w="160" w:type="dxa"/>
            </w:tcMar>
          </w:tcPr>
          <w:p>
            <w:r>
              <w:rPr>
                <w:color w:val="334155"/>
                <w:sz w:val="17"/>
              </w:rPr>
              <w:t>Gate 1: 漏洞封堵驗證</w:t>
            </w:r>
          </w:p>
        </w:tc>
        <w:tc>
          <w:tcPr>
            <w:tcW w:type="dxa" w:w="3888"/>
            <w:tcMar>
              <w:top w:w="140" w:type="dxa"/>
              <w:bottom w:w="140" w:type="dxa"/>
              <w:left w:w="160" w:type="dxa"/>
              <w:right w:w="160" w:type="dxa"/>
            </w:tcMar>
          </w:tcPr>
          <w:p>
            <w:r>
              <w:rPr>
                <w:color w:val="334155"/>
                <w:sz w:val="17"/>
              </w:rPr>
              <w:t>初始入侵管道（VPN/邊界設備/弱密碼）已修補並通過驗證。</w:t>
            </w:r>
          </w:p>
        </w:tc>
        <w:tc>
          <w:tcPr>
            <w:tcW w:type="dxa" w:w="2880"/>
            <w:tcMar>
              <w:top w:w="140" w:type="dxa"/>
              <w:bottom w:w="140" w:type="dxa"/>
              <w:left w:w="160" w:type="dxa"/>
              <w:right w:w="160" w:type="dxa"/>
            </w:tcMar>
          </w:tcPr>
          <w:p>
            <w:r>
              <w:rPr>
                <w:color w:val="334155"/>
                <w:sz w:val="17"/>
              </w:rPr>
              <w:t>網路主管 / 資安主管</w:t>
            </w:r>
          </w:p>
        </w:tc>
      </w:tr>
      <w:tr>
        <w:tc>
          <w:tcPr>
            <w:tcW w:type="dxa" w:w="2592"/>
            <w:tcMar>
              <w:top w:w="140" w:type="dxa"/>
              <w:bottom w:w="140" w:type="dxa"/>
              <w:left w:w="160" w:type="dxa"/>
              <w:right w:w="160" w:type="dxa"/>
            </w:tcMar>
            <w:shd w:fill="F8FAFC"/>
          </w:tcPr>
          <w:p>
            <w:r>
              <w:rPr>
                <w:color w:val="334155"/>
                <w:sz w:val="17"/>
              </w:rPr>
              <w:t>Gate 2: 端點威脅清零</w:t>
            </w:r>
          </w:p>
        </w:tc>
        <w:tc>
          <w:tcPr>
            <w:tcW w:type="dxa" w:w="3888"/>
            <w:tcMar>
              <w:top w:w="140" w:type="dxa"/>
              <w:bottom w:w="140" w:type="dxa"/>
              <w:left w:w="160" w:type="dxa"/>
              <w:right w:w="160" w:type="dxa"/>
            </w:tcMar>
            <w:shd w:fill="F8FAFC"/>
          </w:tcPr>
          <w:p>
            <w:r>
              <w:rPr>
                <w:color w:val="334155"/>
                <w:sz w:val="17"/>
              </w:rPr>
              <w:t>受害系統安裝 EDR，全域 24 小時監控無任何活躍 IOC/C2 通訊。</w:t>
            </w:r>
          </w:p>
        </w:tc>
        <w:tc>
          <w:tcPr>
            <w:tcW w:type="dxa" w:w="2880"/>
            <w:tcMar>
              <w:top w:w="140" w:type="dxa"/>
              <w:bottom w:w="140" w:type="dxa"/>
              <w:left w:w="160" w:type="dxa"/>
              <w:right w:w="160" w:type="dxa"/>
            </w:tcMar>
            <w:shd w:fill="F8FAFC"/>
          </w:tcPr>
          <w:p>
            <w:r>
              <w:rPr>
                <w:color w:val="334155"/>
                <w:sz w:val="17"/>
              </w:rPr>
              <w:t>資安主管 (SOC Lead)</w:t>
            </w:r>
          </w:p>
        </w:tc>
      </w:tr>
      <w:tr>
        <w:tc>
          <w:tcPr>
            <w:tcW w:type="dxa" w:w="2592"/>
            <w:tcMar>
              <w:top w:w="140" w:type="dxa"/>
              <w:bottom w:w="140" w:type="dxa"/>
              <w:left w:w="160" w:type="dxa"/>
              <w:right w:w="160" w:type="dxa"/>
            </w:tcMar>
          </w:tcPr>
          <w:p>
            <w:r>
              <w:rPr>
                <w:color w:val="334155"/>
                <w:sz w:val="17"/>
              </w:rPr>
              <w:t>Gate 3: 特權身分輪替</w:t>
            </w:r>
          </w:p>
        </w:tc>
        <w:tc>
          <w:tcPr>
            <w:tcW w:type="dxa" w:w="3888"/>
            <w:tcMar>
              <w:top w:w="140" w:type="dxa"/>
              <w:bottom w:w="140" w:type="dxa"/>
              <w:left w:w="160" w:type="dxa"/>
              <w:right w:w="160" w:type="dxa"/>
            </w:tcMar>
          </w:tcPr>
          <w:p>
            <w:r>
              <w:rPr>
                <w:color w:val="334155"/>
                <w:sz w:val="17"/>
              </w:rPr>
              <w:t>Domain Admins、服務帳號密碼全數重設，krbtgt 完成雙重輪替。</w:t>
            </w:r>
          </w:p>
        </w:tc>
        <w:tc>
          <w:tcPr>
            <w:tcW w:type="dxa" w:w="2880"/>
            <w:tcMar>
              <w:top w:w="140" w:type="dxa"/>
              <w:bottom w:w="140" w:type="dxa"/>
              <w:left w:w="160" w:type="dxa"/>
              <w:right w:w="160" w:type="dxa"/>
            </w:tcMar>
          </w:tcPr>
          <w:p>
            <w:r>
              <w:rPr>
                <w:color w:val="334155"/>
                <w:sz w:val="17"/>
              </w:rPr>
              <w:t>MIS 主管 / IAM Lead</w:t>
            </w:r>
          </w:p>
        </w:tc>
      </w:tr>
      <w:tr>
        <w:tc>
          <w:tcPr>
            <w:tcW w:type="dxa" w:w="2592"/>
            <w:tcMar>
              <w:top w:w="140" w:type="dxa"/>
              <w:bottom w:w="140" w:type="dxa"/>
              <w:left w:w="160" w:type="dxa"/>
              <w:right w:w="160" w:type="dxa"/>
            </w:tcMar>
            <w:shd w:fill="F8FAFC"/>
          </w:tcPr>
          <w:p>
            <w:r>
              <w:rPr>
                <w:color w:val="334155"/>
                <w:sz w:val="17"/>
              </w:rPr>
              <w:t>Gate 4: 備份乾淨還原</w:t>
            </w:r>
          </w:p>
        </w:tc>
        <w:tc>
          <w:tcPr>
            <w:tcW w:type="dxa" w:w="3888"/>
            <w:tcMar>
              <w:top w:w="140" w:type="dxa"/>
              <w:bottom w:w="140" w:type="dxa"/>
              <w:left w:w="160" w:type="dxa"/>
              <w:right w:w="160" w:type="dxa"/>
            </w:tcMar>
            <w:shd w:fill="F8FAFC"/>
          </w:tcPr>
          <w:p>
            <w:r>
              <w:rPr>
                <w:color w:val="334155"/>
                <w:sz w:val="17"/>
              </w:rPr>
              <w:t>還原來源確認為經 DFIR 掃描無毒之不可變備份或 Golden Image。</w:t>
            </w:r>
          </w:p>
        </w:tc>
        <w:tc>
          <w:tcPr>
            <w:tcW w:type="dxa" w:w="2880"/>
            <w:tcMar>
              <w:top w:w="140" w:type="dxa"/>
              <w:bottom w:w="140" w:type="dxa"/>
              <w:left w:w="160" w:type="dxa"/>
              <w:right w:w="160" w:type="dxa"/>
            </w:tcMar>
            <w:shd w:fill="F8FAFC"/>
          </w:tcPr>
          <w:p>
            <w:r>
              <w:rPr>
                <w:color w:val="334155"/>
                <w:sz w:val="17"/>
              </w:rPr>
              <w:t>硬體主管 / DFIR 顧問</w:t>
            </w:r>
          </w:p>
        </w:tc>
      </w:tr>
      <w:tr>
        <w:tc>
          <w:tcPr>
            <w:tcW w:type="dxa" w:w="2592"/>
            <w:tcMar>
              <w:top w:w="140" w:type="dxa"/>
              <w:bottom w:w="140" w:type="dxa"/>
              <w:left w:w="160" w:type="dxa"/>
              <w:right w:w="160" w:type="dxa"/>
            </w:tcMar>
          </w:tcPr>
          <w:p>
            <w:r>
              <w:rPr>
                <w:color w:val="334155"/>
                <w:sz w:val="17"/>
              </w:rPr>
              <w:t>Gate 5: GxP 與業務簽核</w:t>
            </w:r>
          </w:p>
        </w:tc>
        <w:tc>
          <w:tcPr>
            <w:tcW w:type="dxa" w:w="3888"/>
            <w:tcMar>
              <w:top w:w="140" w:type="dxa"/>
              <w:bottom w:w="140" w:type="dxa"/>
              <w:left w:w="160" w:type="dxa"/>
              <w:right w:w="160" w:type="dxa"/>
            </w:tcMar>
          </w:tcPr>
          <w:p>
            <w:r>
              <w:rPr>
                <w:color w:val="334155"/>
                <w:sz w:val="17"/>
              </w:rPr>
              <w:t>Audit Trail 審查無異常，完成 CSV 變更控制與業務驗收簽字。</w:t>
            </w:r>
          </w:p>
        </w:tc>
        <w:tc>
          <w:tcPr>
            <w:tcW w:type="dxa" w:w="2880"/>
            <w:tcMar>
              <w:top w:w="140" w:type="dxa"/>
              <w:bottom w:w="140" w:type="dxa"/>
              <w:left w:w="160" w:type="dxa"/>
              <w:right w:w="160" w:type="dxa"/>
            </w:tcMar>
          </w:tcPr>
          <w:p>
            <w:r>
              <w:rPr>
                <w:color w:val="334155"/>
                <w:sz w:val="17"/>
              </w:rPr>
              <w:t>QA 主管 / 業務主管 / CISO</w:t>
            </w:r>
          </w:p>
        </w:tc>
      </w:tr>
    </w:tbl>
    <w:p>
      <w:pPr>
        <w:spacing w:after="120"/>
      </w:pPr>
    </w:p>
    <w:p>
      <w:pPr>
        <w:keepNext/>
        <w:spacing w:before="320" w:after="120"/>
      </w:pPr>
      <w:r>
        <w:rPr>
          <w:b/>
          <w:color w:val="0F172A"/>
          <w:sz w:val="27"/>
        </w:rPr>
        <w:t>七、 董事會簽核與授權生效 (Executive Sign-off)</w:t>
      </w:r>
    </w:p>
    <w:p>
      <w:pPr>
        <w:spacing w:after="80" w:line="276" w:lineRule="auto"/>
      </w:pPr>
      <w:r>
        <w:rPr>
          <w:color w:val="334155"/>
          <w:sz w:val="19"/>
        </w:rPr>
        <w:t>本報告書作為藥華醫藥集團重大資安事件應變之法定編組名冊與盤點作業標準，經審計委員會審查並呈報董事會核定後立即生效施行。</w:t>
      </w:r>
    </w:p>
    <w:tbl>
      <w:tblPr>
        <w:tblW w:type="auto" w:w="0"/>
        <w:jc w:val="center"/>
        <w:tblLook w:firstColumn="1" w:firstRow="1" w:lastColumn="0" w:lastRow="0" w:noHBand="0" w:noVBand="1" w:val="04A0"/>
      </w:tblPr>
      <w:tblGrid>
        <w:gridCol w:w="3120"/>
        <w:gridCol w:w="3120"/>
        <w:gridCol w:w="3120"/>
      </w:tblGrid>
      <w:tr>
        <w:tc>
          <w:tcPr>
            <w:tcW w:type="dxa" w:w="3024"/>
            <w:shd w:fill="0F172A"/>
            <w:tcMar>
              <w:top w:w="140" w:type="dxa"/>
              <w:bottom w:w="140" w:type="dxa"/>
              <w:left w:w="160" w:type="dxa"/>
              <w:right w:w="160" w:type="dxa"/>
            </w:tcMar>
          </w:tcPr>
          <w:p>
            <w:pPr>
              <w:jc w:val="center"/>
            </w:pPr>
            <w:r>
              <w:rPr>
                <w:b/>
                <w:color w:val="FFFFFF"/>
                <w:sz w:val="19"/>
              </w:rPr>
              <w:t>報告主筆 (Group CISO Candidate)</w:t>
            </w:r>
          </w:p>
        </w:tc>
        <w:tc>
          <w:tcPr>
            <w:tcW w:type="dxa" w:w="3168"/>
            <w:shd w:fill="0F172A"/>
            <w:tcMar>
              <w:top w:w="140" w:type="dxa"/>
              <w:bottom w:w="140" w:type="dxa"/>
              <w:left w:w="160" w:type="dxa"/>
              <w:right w:w="160" w:type="dxa"/>
            </w:tcMar>
          </w:tcPr>
          <w:p>
            <w:pPr>
              <w:jc w:val="center"/>
            </w:pPr>
            <w:r>
              <w:rPr>
                <w:b/>
                <w:color w:val="FFFFFF"/>
                <w:sz w:val="19"/>
              </w:rPr>
              <w:t>審查 (Audit Committee / CEO)</w:t>
            </w:r>
          </w:p>
        </w:tc>
        <w:tc>
          <w:tcPr>
            <w:tcW w:type="dxa" w:w="3168"/>
            <w:shd w:fill="0F172A"/>
            <w:tcMar>
              <w:top w:w="140" w:type="dxa"/>
              <w:bottom w:w="140" w:type="dxa"/>
              <w:left w:w="160" w:type="dxa"/>
              <w:right w:w="160" w:type="dxa"/>
            </w:tcMar>
          </w:tcPr>
          <w:p>
            <w:pPr>
              <w:jc w:val="center"/>
            </w:pPr>
            <w:r>
              <w:rPr>
                <w:b/>
                <w:color w:val="FFFFFF"/>
                <w:sz w:val="19"/>
              </w:rPr>
              <w:t>核定 (Board of Directors)</w:t>
            </w:r>
          </w:p>
        </w:tc>
      </w:tr>
      <w:tr>
        <w:tc>
          <w:tcPr>
            <w:tcW w:type="dxa" w:w="3024"/>
            <w:tcMar>
              <w:top w:w="180" w:type="dxa"/>
              <w:bottom w:w="180" w:type="dxa"/>
              <w:left w:w="150" w:type="dxa"/>
              <w:right w:w="150" w:type="dxa"/>
            </w:tcMar>
          </w:tcPr>
          <w:p>
            <w:r>
              <w:rPr>
                <w:color w:val="334155"/>
                <w:sz w:val="18"/>
              </w:rPr>
              <w:t>簽名：____________________</w:t>
              <w:br/>
              <w:t>廖倫豪 博士 (Howard Liao, Ph.D.)</w:t>
              <w:br/>
              <w:t>Group CISO 候選人</w:t>
              <w:br/>
              <w:t>日期：2026 年 8 月    日</w:t>
            </w:r>
          </w:p>
        </w:tc>
        <w:tc>
          <w:tcPr>
            <w:tcW w:type="dxa" w:w="3168"/>
            <w:tcMar>
              <w:top w:w="180" w:type="dxa"/>
              <w:bottom w:w="180" w:type="dxa"/>
              <w:left w:w="150" w:type="dxa"/>
              <w:right w:w="150" w:type="dxa"/>
            </w:tcMar>
          </w:tcPr>
          <w:p>
            <w:r>
              <w:rPr>
                <w:color w:val="334155"/>
                <w:sz w:val="18"/>
              </w:rPr>
              <w:t>簽名：____________________</w:t>
              <w:br/>
              <w:t>總經理 / 審計委員會召集人</w:t>
              <w:br/>
              <w:br/>
              <w:t>日期：2026 年 8 月    日</w:t>
            </w:r>
          </w:p>
        </w:tc>
        <w:tc>
          <w:tcPr>
            <w:tcW w:type="dxa" w:w="3168"/>
            <w:tcMar>
              <w:top w:w="180" w:type="dxa"/>
              <w:bottom w:w="180" w:type="dxa"/>
              <w:left w:w="150" w:type="dxa"/>
              <w:right w:w="150" w:type="dxa"/>
            </w:tcMar>
          </w:tcPr>
          <w:p>
            <w:r>
              <w:rPr>
                <w:color w:val="334155"/>
                <w:sz w:val="18"/>
              </w:rPr>
              <w:t>簽名：____________________</w:t>
              <w:br/>
              <w:t>董事長 / 董事會代表</w:t>
              <w:br/>
              <w:br/>
              <w:t>日期：2026 年 8 月    日</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7"/>
      </w:rPr>
      <w:t>― Page Confidential ｜ CSIRT Roster &amp; Asset Audit SOP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4A3B8"/>
        <w:sz w:val="17"/>
      </w:rPr>
      <w:t>藥華醫藥（6446）資安小組成員編組與全域盤點程序報告書 ｜ 機密文件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