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Arial Rounded MT Bold" w:hAnsi="Arial Rounded MT Bold"/>
          <w:b/>
          <w:color w:val="D97706"/>
          <w:sz w:val="19"/>
        </w:rPr>
        <w:t>● ─── PHARMAESSENTIA 6446.TW ｜ DFIR INCIDENT GOVERNANCE DOSSIER ─── ▲</w:t>
      </w:r>
    </w:p>
    <w:p>
      <w:pPr>
        <w:spacing w:after="160"/>
        <w:jc w:val="center"/>
      </w:pPr>
      <w:r>
        <w:rPr>
          <w:rFonts w:ascii="Arial Rounded MT Bold" w:hAnsi="Arial Rounded MT Bold"/>
          <w:b/>
          <w:color w:val="E8590C"/>
          <w:sz w:val="42"/>
        </w:rPr>
        <w:t>藥華醫藥集團 數位鑑識與事件應變（DFIR）標準作業程序 暨 專案工作分解結構（WBS）報告書</w:t>
      </w:r>
    </w:p>
    <w:p>
      <w:pPr>
        <w:spacing w:after="280"/>
        <w:jc w:val="center"/>
      </w:pPr>
      <w:r>
        <w:rPr>
          <w:rFonts w:ascii="Arial Rounded MT Bold" w:hAnsi="Arial Rounded MT Bold"/>
          <w:color w:val="232629"/>
          <w:sz w:val="22"/>
        </w:rPr>
        <w:t>基於 NIST SP 800-61r3、ISO/IEC 27037 與 GxP 合規之司法證據鏈與受控復線全案</w:t>
      </w:r>
    </w:p>
    <w:p>
      <w:pPr>
        <w:spacing w:after="320"/>
        <w:jc w:val="center"/>
      </w:pPr>
      <w:r>
        <w:rPr>
          <w:rFonts w:ascii="Arial Rounded MT Bold" w:hAnsi="Arial Rounded MT Bold"/>
          <w:b/>
          <w:color w:val="D97706"/>
          <w:sz w:val="22"/>
        </w:rPr>
        <w:t>報告人 Howard Liao Ph.D.(廖倫豪 博士)</w:t>
      </w:r>
    </w:p>
    <w:p>
      <w:pPr>
        <w:spacing w:after="360"/>
        <w:jc w:val="center"/>
      </w:pPr>
      <w:r>
        <w:rPr>
          <w:color w:val="E8590C"/>
          <w:sz w:val="16"/>
        </w:rPr>
        <w:t>● ══════════════════ ✦ ══════════════════ ▲</w:t>
      </w:r>
    </w:p>
    <w:p>
      <w:pPr>
        <w:spacing w:after="360"/>
        <w:jc w:val="center"/>
      </w:pPr>
      <w:r>
        <w:rPr>
          <w:rFonts w:ascii="Arial" w:hAnsi="Arial"/>
          <w:color w:val="6E7378"/>
          <w:sz w:val="17"/>
        </w:rPr>
        <w:t>呈報對象：董事會 ｜ 審計委員會 ｜ 總經理 ｜ 法務室 ｜ 人資長 ｜ 安全密級：極機密 (TLP:AMBER)</w:t>
      </w: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一、 執行摘要：DFIR 團隊進駐之五大核心價值 (Executive Takeaways)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我是廖倫豪博士。針對藥華醫藥當前遭遇之國際勒索軟體組織（TheGentlemen）網路攻擊與暗網點名施壓事件，我依據國際資安鑑識規範（NIST SP 800-61r3、ISO/IEC 27037）與生醫 GxP 合規標準，為公司規劃並確立外部專業數位鑑識與事件應變團隊（DFIR Team）之進駐程序與專案工作分解結構（WBS）。我的五大戰略判定如下：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9F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MY 5 STRATEGIC DETERMINATIONS ｜ 我的五大 DFIR 戰略判定 ✦</w:t>
              <w:br/>
            </w:r>
            <w:r>
              <w:rPr>
                <w:rFonts w:ascii="Arial" w:hAnsi="Arial"/>
                <w:color w:val="232629"/>
                <w:sz w:val="19"/>
              </w:rPr>
              <w:t>1. 法律保密特權（Attorney-Client Privilege）防護傘：我要求 DFIR 團隊必須由公司外部獨立法務顧問正式委任進場，確保調查過程之技術草稿享有法律特權，防範在未來訴訟或監管調查中被強制公開。</w:t>
              <w:br/>
              <w:t>2. 24x7 鑑識作戰工程部隊與專案工具鏈：現場取證、RAM Dump 採集、PCAP 回溯需要一整支配備專用鑑識工具與日夜輪班量能的專業團隊，非單兵顧問能獨立負擔。</w:t>
              <w:br/>
              <w:t>3. 司法級數位證據鏈（Chain of Custody）不可否認性：我要求所有採集之映像檔與日誌包全面計算 SHA-256 Hash，確保證據在臺灣證交所、調查局及美國 FDA 面前具備法律公信力。</w:t>
              <w:br/>
              <w:t>4. 生醫 GxP / 21 CFR Part 11 資料完整性深度檢驗：我要求 DFIR 與 QA 團隊緊密協同，針對 LIMS、MES 與臨床試驗 EDC 數據庫執行 Audit Trail 一致性檢核，杜絕帶毒復線。</w:t>
              <w:br/>
              <w:t>5. 協助證交所重訊與主管機關申報之「不可動搖事實」：DFIR 團隊出具之客觀鑑識數據，是藥華藥向資本市場與主管機關證明「核心專利加密無外流、生產未受影響」的關鍵法定依據。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二、 DFIR 團隊進駐藥華醫藥之六大標準執行程序 (DFIR Lifecycle)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我為進駐藥華醫藥之外部 DFIR 團隊訂定了六大標準執行程序，嚴格管制作業節奏：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程序階段</w:t>
            </w:r>
          </w:p>
        </w:tc>
        <w:tc>
          <w:tcPr>
            <w:tcW w:type="dxa" w:w="374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DFIR 核心作業項目</w:t>
            </w:r>
          </w:p>
        </w:tc>
        <w:tc>
          <w:tcPr>
            <w:tcW w:type="dxa" w:w="3168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我要求之關鍵交付成果與法定標準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程序一：</w:t>
              <w:br/>
              <w:t>法律委任與特權確立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外部法律顧問正式委任 DFIR 團隊，簽署範疇授權書與保密條款。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確立 Attorney-Client Privilege 保密特權，出具《鑑識範疇授權書》。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程序二：</w:t>
              <w:br/>
              <w:t>數位證據採集與保全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受害主機斷網不關機，執行 RAM Dump、KAPE 假影萃取與全封包擷取。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計算 SHA-256 Hash，建立《司法證據鏈監管清冊 (Chain of Custody)》。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程序三：</w:t>
              <w:br/>
              <w:t>深度鑑識與攻擊鏈重組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定位初始入侵點（Initial Access）、分析 Mimikatz 橫向移動與 WMI 軌跡。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重組攻擊微秒級時間軸，出具《MITRE ATT&amp;CK 攻擊鏈映射報告》。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程序四：</w:t>
              <w:br/>
              <w:t>暗網洩密比對與外洩判定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於安全沙箱檢驗 TheGentlemen 釋出樣本，比對 Besremi 專利 CMC 加密狀態。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出具《王冠資產安全性評估報告》，確認核心專利與臨床個資無外洩。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程序五：</w:t>
              <w:br/>
              <w:t>威脅根除與復原放行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全域派發 YARA/Sigma IOC 獵捕，支援 krbtgt 雙重輪替與 Clean Room 掃描。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出具《系統安全放行證明 (Gate 4)》，確保環境威脅清零（Zero Persistence）。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程序六：</w:t>
              <w:br/>
              <w:t>結案調查報告與監管答辯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出具正式司法級數位鑑識報告，支援證交所 MOPS 重訊與主管機關技術答辯。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出具《DFIR 正式調查報告書》與《主管機關技術申報答辯書》。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三、 藥華醫藥 DFIR 專案工作分解結構（WBS 矩陣 1.0 ～ 6.2）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我將 DFIR 進駐專案細分為六大工作包、14 個執行子項，並明確定義時效 SLA：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WBS 代碼</w:t>
            </w:r>
          </w:p>
        </w:tc>
        <w:tc>
          <w:tcPr>
            <w:tcW w:type="dxa" w:w="2592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工作包名稱 (Work Package)</w:t>
            </w:r>
          </w:p>
        </w:tc>
        <w:tc>
          <w:tcPr>
            <w:tcW w:type="dxa" w:w="3168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關鍵作業與交付成果</w:t>
            </w:r>
          </w:p>
        </w:tc>
        <w:tc>
          <w:tcPr>
            <w:tcW w:type="dxa" w:w="1296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主責角色</w:t>
            </w:r>
          </w:p>
        </w:tc>
        <w:tc>
          <w:tcPr>
            <w:tcW w:type="dxa" w:w="1008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時效 SLA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1.1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法律特權與委任簽署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簽署 DFIR 委任書，確立 Attorney-Client Privilege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法務長 / DFIR Lead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T+2h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1.2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鑑識範疇界定會議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確認母公司、泛泰醫療、雲端租戶邊界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CISO (我) / DFIR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T+4h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2.1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揮發性記憶體取證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使用 WinPmem 採集受害主機 RAM Dump (.raw)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鑑識工程師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T+8h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2.2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磁碟假影與日誌萃取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使用 KAPE 萃取 $MFT、EVTX、Prefetch 假影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鑑識工程師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T+12h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2.3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證據鏈簽署保全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計算 SHA-256 Hash，建立司法監管追溯表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DFIR 證據專員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T+18h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3.1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初始入侵管道分析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清查 VPN/防火牆 NAT，鎖定入侵時間戳與 IP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資深鑑識專家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T+24h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3.2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橫向移動路徑重組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建立 Super Timeline，重組 Mimikatz/WMI 軌跡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資深鑑識專家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T+30h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3.3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專案 IOC 特徵提取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提取惡意特徵，轉譯為 YARA / Sigma / KQL 規則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威脅情資專家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T+36h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4.1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暗網洩漏樣本比對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於隔離沙箱檢驗 TheGentlemen 釋出縮圖與 Hash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鑑識專家 / DPO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T+24h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4.2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王冠資產安全性判定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複核 Besremi 專利 CMC 與受試者資料庫加密狀態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鑑識專家 / QA Lead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T+48h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5.1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全域 EDR 威脅獵捕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派發專案 IOC 掃描全域端點，確認無後門殘留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DFIR / SOC Lead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T+36h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5.2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AD 重建與 krbtgt 支援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指導完成 krbtgt 雙重輪替與 Kerberos 票證驗證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DFIR / MIS Lead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T+48h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5.3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Clean Room 還原掃描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掃描不可變備份還原之資料庫，出具放行證明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DFIR Lead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T+72h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6.1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DFIR 正式報告出具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產出完整司法級數位鑑識與事件應變調查報告書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6"/>
              </w:rPr>
              <w:t>DFIR Lead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T+7d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四、 生技 GxP 專屬鑑識與品質確效對接機制 (Pharma GxP Interlock)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我特別要求 DFIR 團隊將生技製藥合規標準納入鑑識核心：</w:t>
      </w: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1. FDA 21 CFR Part 11 稽核軌跡審查：</w:t>
      </w:r>
      <w:r>
        <w:rPr>
          <w:rFonts w:ascii="Arial" w:hAnsi="Arial"/>
          <w:color w:val="232629"/>
          <w:sz w:val="19"/>
        </w:rPr>
        <w:t>對 LIMS、CDS 層析系統與 MES 批次記錄導出近 30 天之 Audit Trail，逐筆檢驗時間戳與操作簽章，確保數據符合 ALCOA+ 原則。</w:t>
      </w: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2. 台中蛋白質新藥廠 GMP 產線實體隔離查核：</w:t>
      </w:r>
      <w:r>
        <w:rPr>
          <w:rFonts w:ascii="Arial" w:hAnsi="Arial"/>
          <w:color w:val="232629"/>
          <w:sz w:val="19"/>
        </w:rPr>
        <w:t>現場實體檢驗台中蛋白質製造廠 SCADA/PLC 工廠網路與 BMS 環境監控系統之 Purdue Model 隔離性，確認製造參數無外力篡改。</w:t>
      </w: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3. 臨床試驗數據（GCP）隱私金庫檢驗：</w:t>
      </w:r>
      <w:r>
        <w:rPr>
          <w:rFonts w:ascii="Arial" w:hAnsi="Arial"/>
          <w:color w:val="232629"/>
          <w:sz w:val="19"/>
        </w:rPr>
        <w:t>確實驗證 EDC 系統與 eTMF 主文檔之加密金鑰獨立性，出具受試者去識別化金鑰未受破壞之鑑識佐證。</w:t>
      </w: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五、 我與 DFIR 團隊之協同作戰矩陣（戰時滅火 vs. 長期治理）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我為藥華醫藥確立了外部專業 DFIR 團隊與集團資安長（CISO）之間的完美分工界線：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治理與作業維度</w:t>
            </w:r>
          </w:p>
        </w:tc>
        <w:tc>
          <w:tcPr>
            <w:tcW w:type="dxa" w:w="374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外部專業 DFIR 團隊 (專案作戰工程部隊)</w:t>
            </w:r>
          </w:p>
        </w:tc>
        <w:tc>
          <w:tcPr>
            <w:tcW w:type="dxa" w:w="3456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集團資安長 (我 / 廖倫豪 博士)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作戰定位與權責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戰時技術執行者：專注於漏洞圍堵、數位取證、逆向分析與威脅清零。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戰略最高指揮官：統籌 War Room、裁決技術隔離、協調 GxP 與業務連續性。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法律與特權保護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受法務委任進場，產出受 Attorney-Client Privilege 保護之技術報告。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將鑑識客觀數據轉化為董事會 SITREP、MOPS 重訊與主管機關申報方案。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生產與 GxP 確效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提供資料庫還原無毒掃描證明，配合 QA 導出 Audit Trail 數據。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協同 QA 主管與 CSV 專員，執行系統變更控制（Change Control）與復線簽核。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長遠轉型與建設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專案結案後退出，提供技術性建議清單與 IOC 規則庫。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主導集團 180 天自適應防禦藍圖、零信任架構落地與董事會常態化治理。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六、 董事會決策呈核與專案簽署欄位 (Decisions &amp; Sign-off)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9F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DECISIONS REQUIRED ｜ 我提請董事會與經營團隊核定事項 ✦</w:t>
              <w:br/>
            </w:r>
            <w:r>
              <w:rPr>
                <w:rFonts w:ascii="Arial" w:hAnsi="Arial"/>
                <w:color w:val="232629"/>
                <w:sz w:val="19"/>
              </w:rPr>
              <w:t>1. 核定 DFIR 專案委任合約：授權外部法律顧問正式簽署頂尖 DFIR 鑑識團隊進駐，確保享有完整法律保密特權。</w:t>
              <w:br/>
              <w:t>2. 確立集團 CISO 正式遴選：由人資長與審計委員會啟動資安長正式遴選程序，安排我與總經理及董事會深入交流。</w:t>
              <w:br/>
              <w:t>3. 授權跨國子公司邊界收斂：依 DFIR 建議，全面切斷與收斂泛泰醫療及海外據點之預設信任通道。</w:t>
            </w:r>
          </w:p>
        </w:tc>
      </w:tr>
    </w:tbl>
    <w:p>
      <w:pPr>
        <w:spacing w:after="80"/>
      </w:pP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我的專業聲明：</w:t>
      </w:r>
      <w:r>
        <w:rPr>
          <w:rFonts w:ascii="Arial" w:hAnsi="Arial"/>
          <w:color w:val="232629"/>
          <w:sz w:val="19"/>
        </w:rPr>
        <w:t>本報告是我基於國際鑑識標準與藥華醫藥現況獨立產出，旨在為董事會建立最合規、最嚴謹之資安應變與治理規範。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提案主筆 (我 / CISO Candidate)</w:t>
            </w:r>
          </w:p>
        </w:tc>
        <w:tc>
          <w:tcPr>
            <w:tcW w:type="dxa" w:w="302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審閱 (CHRO / CEO)</w:t>
            </w:r>
          </w:p>
        </w:tc>
        <w:tc>
          <w:tcPr>
            <w:tcW w:type="dxa" w:w="302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核定 (Board of Directors)</w:t>
            </w:r>
          </w:p>
        </w:tc>
      </w:tr>
      <w:tr>
        <w:tc>
          <w:tcPr>
            <w:tcW w:type="dxa" w:w="2880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藥華醫藥 人資長 / 總經理</w:t>
              <w:br/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Rounded MT Bold" w:hAnsi="Arial Rounded MT Bold"/>
        <w:color w:val="E8590C"/>
        <w:sz w:val="16"/>
      </w:rPr>
      <w:t>● ── ✦ ── Executive Strategic DFIR Governance ｜ NIST SP 800-61r3 &amp; GxP ── ✦ ── 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Rounded MT Bold" w:hAnsi="Arial Rounded MT Bold"/>
        <w:color w:val="968C82"/>
        <w:sz w:val="16"/>
      </w:rPr>
      <w:t>PHARMAESSENTIA ｜ DFIR ENGAGEMENT &amp; WBS REPORT ｜ MIRÓ VECTOR 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