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  <w:jc w:val="center"/>
      </w:pPr>
      <w:r>
        <w:rPr>
          <w:b/>
          <w:color w:val="0F172A"/>
          <w:sz w:val="42"/>
        </w:rPr>
        <w:t>藥華醫藥（6446）資訊系統遭駭與 TheGentlemen 勒索威脅事件</w:t>
        <w:br/>
        <w:t>現況調查、暗網威脅評估與 CISO 戰略治理報告</w:t>
      </w:r>
    </w:p>
    <w:p>
      <w:pPr>
        <w:spacing w:after="160"/>
        <w:jc w:val="center"/>
      </w:pPr>
      <w:r>
        <w:rPr>
          <w:b/>
          <w:color w:val="0284C7"/>
          <w:sz w:val="24"/>
        </w:rPr>
        <w:t>Independent Forensic Investigation &amp; Threat Intelligence Assessment Report</w:t>
      </w:r>
    </w:p>
    <w:p>
      <w:pPr>
        <w:spacing w:after="240"/>
        <w:jc w:val="center"/>
      </w:pPr>
      <w:r>
        <w:rPr>
          <w:color w:val="334155"/>
          <w:sz w:val="18"/>
        </w:rPr>
        <w:t>文件編號：PE-DFIR-2026-08-REV1 ｜ 安全等級：極機密 (TLP:AMBER+STRICT)</w:t>
        <w:br/>
        <w:t>主筆候選人：廖倫豪 博士 (Howard Liao, Ph.D.) ｜ Group CISO 候選人</w:t>
        <w:br/>
        <w:t>呈報對象：董事會 ｜ 審計委員會 ｜ 總經理 ｜ 日期：2026 年 8 月</w:t>
      </w:r>
    </w:p>
    <w:p>
      <w:pPr>
        <w:spacing w:after="280"/>
        <w:jc w:val="center"/>
      </w:pPr>
      <w:r>
        <w:rPr>
          <w:color w:val="0284C7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320" w:after="120"/>
      </w:pPr>
      <w:r>
        <w:rPr>
          <w:b/>
          <w:color w:val="0F172A"/>
          <w:sz w:val="27"/>
        </w:rPr>
        <w:t>一、 執行摘要 (Executive Summary)</w:t>
      </w:r>
    </w:p>
    <w:p>
      <w:pPr>
        <w:spacing w:after="80" w:line="276" w:lineRule="auto"/>
      </w:pPr>
      <w:r>
        <w:rPr>
          <w:color w:val="334155"/>
          <w:sz w:val="19"/>
        </w:rPr>
        <w:t>2026 年 8 月初，藥華醫藥（PharmaEssentia，TWSE: 6446）及其子公司「泛泰醫療」之部分資訊系統遭受國際勒索組織「TheGentlemen」網路滲透攻擊。攻擊者隨後於暗網專屬洩密站（DLS）點名藥華藥，並透過社交工程管道對媒體記者與內部員工廣發威脅信件，宣稱握有內部機密資料，企圖以多重勒索（Multi-Extortion）迫使公司妥協。</w:t>
      </w:r>
    </w:p>
    <w:p>
      <w:pPr>
        <w:spacing w:after="80" w:line="276" w:lineRule="auto"/>
      </w:pPr>
      <w:r>
        <w:rPr>
          <w:color w:val="334155"/>
          <w:sz w:val="19"/>
        </w:rPr>
        <w:t>本調查報告由集團資安長（Group CISO）候選人 廖倫豪 博士 基於公開重大訊息、威脅情資（OSINT/CTI）、暗網追蹤數據、MITRE ATT&amp;CK 框架及生技製藥 GxP 合規標準進行獨立交叉鑑識與治理分析。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9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line="276" w:lineRule="auto"/>
            </w:pPr>
            <w:r>
              <w:rPr>
                <w:b/>
                <w:color w:val="0F172A"/>
                <w:sz w:val="19"/>
              </w:rPr>
              <w:t>【調查核心結論 (Key Findings)】</w:t>
              <w:br/>
            </w:r>
            <w:r>
              <w:rPr>
                <w:color w:val="334155"/>
                <w:sz w:val="18"/>
              </w:rPr>
              <w:t>1. 核心資產完整性判定：經情資比對與加密架構複核，藥華藥核心專利資產（Besremi® / P1101 分子專利、CMC 製造與管制工藝、臨床試驗受試者核心資料庫）底層結構化加密防護有效，未見核心研發智財遭未授權外流。</w:t>
              <w:br/>
              <w:t>2. 實質外洩範疇：攻擊者目前於暗網展示之樣本多屬子公司行政合約、財務試算表（finance_2024.xlsx）與部分員工公務通訊錄名單，攻擊主要目的為心理施壓與聲譽勒索。</w:t>
              <w:br/>
              <w:t>3. 關鍵營運與生產狀態：台中蛋白質新藥製造廠（GMP 產線）、實驗室 LIMS 與臨床試驗 EDC 系統維持受控隔離運作，未發生生產中斷，對公司營運與財務無重大實質影響。</w:t>
              <w:br/>
              <w:t>4. 核心防禦缺口：凸顯跨國子公司（泛泰醫療）IT 邊界信任未嚴格分段、非抗釣魚 MFA 憑證被竊，以及外部郵件網域 DMARC 未能全面強制拒絕等結構性治理脆弱點。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b/>
          <w:color w:val="0F172A"/>
          <w:sz w:val="27"/>
        </w:rPr>
        <w:t>二、 事件時序全貌與影響範圍 (Incident Timeline &amp; Blast Radius)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shd w:fill="0F172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時間節點</w:t>
            </w:r>
          </w:p>
        </w:tc>
        <w:tc>
          <w:tcPr>
            <w:tcW w:type="dxa" w:w="4464"/>
            <w:shd w:fill="0F172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事件發展與威脅動態</w:t>
            </w:r>
          </w:p>
        </w:tc>
        <w:tc>
          <w:tcPr>
            <w:tcW w:type="dxa" w:w="3168"/>
            <w:shd w:fill="0F172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技術與治理判定</w:t>
            </w:r>
          </w:p>
        </w:tc>
      </w:tr>
      <w:tr>
        <w:tc>
          <w:tcPr>
            <w:tcW w:type="dxa" w:w="1728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color w:val="334155"/>
                <w:sz w:val="17"/>
              </w:rPr>
              <w:t>2026/08/03</w:t>
              <w:br/>
              <w:t>(T0 – T+4h)</w:t>
            </w:r>
          </w:p>
        </w:tc>
        <w:tc>
          <w:tcPr>
            <w:tcW w:type="dxa" w:w="4464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color w:val="334155"/>
                <w:sz w:val="17"/>
              </w:rPr>
              <w:t>SOC 偵測到異常活動，母公司與泛泰醫療部分伺服器受攻擊。藥華藥發布重訊並啟動外部 DFIR 進駐。</w:t>
            </w:r>
          </w:p>
        </w:tc>
        <w:tc>
          <w:tcPr>
            <w:tcW w:type="dxa" w:w="3168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color w:val="334155"/>
                <w:sz w:val="17"/>
              </w:rPr>
              <w:t>啟動 SEV-1 處置；針對受波及端點進行網路隔離，切斷可疑跨網連線。</w:t>
            </w:r>
          </w:p>
        </w:tc>
      </w:tr>
      <w:tr>
        <w:tc>
          <w:tcPr>
            <w:tcW w:type="dxa" w:w="1728"/>
            <w:tcMar>
              <w:top w:w="140" w:type="dxa"/>
              <w:bottom w:w="140" w:type="dxa"/>
              <w:left w:w="160" w:type="dxa"/>
              <w:right w:w="160" w:type="dxa"/>
            </w:tcMar>
            <w:shd w:fill="F8FAFC"/>
          </w:tcPr>
          <w:p>
            <w:r>
              <w:rPr>
                <w:color w:val="334155"/>
                <w:sz w:val="17"/>
              </w:rPr>
              <w:t>2026/08/04–08/06</w:t>
              <w:br/>
              <w:t>(T+24h – T+72h)</w:t>
            </w:r>
          </w:p>
        </w:tc>
        <w:tc>
          <w:tcPr>
            <w:tcW w:type="dxa" w:w="4464"/>
            <w:tcMar>
              <w:top w:w="140" w:type="dxa"/>
              <w:bottom w:w="140" w:type="dxa"/>
              <w:left w:w="160" w:type="dxa"/>
              <w:right w:w="160" w:type="dxa"/>
            </w:tcMar>
            <w:shd w:fill="F8FAFC"/>
          </w:tcPr>
          <w:p>
            <w:r>
              <w:rPr>
                <w:color w:val="334155"/>
                <w:sz w:val="17"/>
              </w:rPr>
              <w:t>攻擊者向記者與員工寄發施壓郵件，附上通訊錄並設立 200 小時倒數計時網址進行勒索。</w:t>
            </w:r>
          </w:p>
        </w:tc>
        <w:tc>
          <w:tcPr>
            <w:tcW w:type="dxa" w:w="3168"/>
            <w:tcMar>
              <w:top w:w="140" w:type="dxa"/>
              <w:bottom w:w="140" w:type="dxa"/>
              <w:left w:w="160" w:type="dxa"/>
              <w:right w:w="160" w:type="dxa"/>
            </w:tcMar>
            <w:shd w:fill="F8FAFC"/>
          </w:tcPr>
          <w:p>
            <w:r>
              <w:rPr>
                <w:color w:val="334155"/>
                <w:sz w:val="17"/>
              </w:rPr>
              <w:t>轉移至多重勒索（Multi-Extortion）心理戰；郵件包含仿冒網域連結。</w:t>
            </w:r>
          </w:p>
        </w:tc>
      </w:tr>
      <w:tr>
        <w:tc>
          <w:tcPr>
            <w:tcW w:type="dxa" w:w="1728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color w:val="334155"/>
                <w:sz w:val="17"/>
              </w:rPr>
              <w:t>2026/08/09–08/10</w:t>
            </w:r>
          </w:p>
        </w:tc>
        <w:tc>
          <w:tcPr>
            <w:tcW w:type="dxa" w:w="4464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color w:val="334155"/>
                <w:sz w:val="17"/>
              </w:rPr>
              <w:t>國際勒索組織「TheGentlemen」於暗網專屬洩密站（DLS）正式點名 PharmaEssentia。</w:t>
            </w:r>
          </w:p>
        </w:tc>
        <w:tc>
          <w:tcPr>
            <w:tcW w:type="dxa" w:w="3168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color w:val="334155"/>
                <w:sz w:val="17"/>
              </w:rPr>
              <w:t>攻擊者正式公開點名（Name-and-Shame），展示部分行政與財務檔案截圖。</w:t>
            </w:r>
          </w:p>
        </w:tc>
      </w:tr>
      <w:tr>
        <w:tc>
          <w:tcPr>
            <w:tcW w:type="dxa" w:w="1728"/>
            <w:tcMar>
              <w:top w:w="140" w:type="dxa"/>
              <w:bottom w:w="140" w:type="dxa"/>
              <w:left w:w="160" w:type="dxa"/>
              <w:right w:w="160" w:type="dxa"/>
            </w:tcMar>
            <w:shd w:fill="F8FAFC"/>
          </w:tcPr>
          <w:p>
            <w:r>
              <w:rPr>
                <w:color w:val="334155"/>
                <w:sz w:val="17"/>
              </w:rPr>
              <w:t>2026/08/13</w:t>
            </w:r>
          </w:p>
        </w:tc>
        <w:tc>
          <w:tcPr>
            <w:tcW w:type="dxa" w:w="4464"/>
            <w:tcMar>
              <w:top w:w="140" w:type="dxa"/>
              <w:bottom w:w="140" w:type="dxa"/>
              <w:left w:w="160" w:type="dxa"/>
              <w:right w:w="160" w:type="dxa"/>
            </w:tcMar>
            <w:shd w:fill="F8FAFC"/>
          </w:tcPr>
          <w:p>
            <w:r>
              <w:rPr>
                <w:color w:val="334155"/>
                <w:sz w:val="17"/>
              </w:rPr>
              <w:t>藥華藥發布官方公開聲明，說明核心機密加密無外流，公布偽冒網域清單提醒防詐。</w:t>
            </w:r>
          </w:p>
        </w:tc>
        <w:tc>
          <w:tcPr>
            <w:tcW w:type="dxa" w:w="3168"/>
            <w:tcMar>
              <w:top w:w="140" w:type="dxa"/>
              <w:bottom w:w="140" w:type="dxa"/>
              <w:left w:w="160" w:type="dxa"/>
              <w:right w:w="160" w:type="dxa"/>
            </w:tcMar>
            <w:shd w:fill="F8FAFC"/>
          </w:tcPr>
          <w:p>
            <w:r>
              <w:rPr>
                <w:color w:val="334155"/>
                <w:sz w:val="17"/>
              </w:rPr>
              <w:t>明確劃分官方合法網域（pharmaessentia.com）與仿冒網域，穩定資本市場信心。</w:t>
            </w:r>
          </w:p>
        </w:tc>
      </w:tr>
      <w:tr>
        <w:tc>
          <w:tcPr>
            <w:tcW w:type="dxa" w:w="1728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color w:val="334155"/>
                <w:sz w:val="17"/>
              </w:rPr>
              <w:t>現階段狀態</w:t>
            </w:r>
          </w:p>
        </w:tc>
        <w:tc>
          <w:tcPr>
            <w:tcW w:type="dxa" w:w="4464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color w:val="334155"/>
                <w:sz w:val="17"/>
              </w:rPr>
              <w:t>威脅進入收斂與鑑識結案階段；暗網尚未釋出大規模核心專利封裝檔。</w:t>
            </w:r>
          </w:p>
        </w:tc>
        <w:tc>
          <w:tcPr>
            <w:tcW w:type="dxa" w:w="3168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color w:val="334155"/>
                <w:sz w:val="17"/>
              </w:rPr>
              <w:t>維持受控監控狀態，推動架構加固與子公司信任邊界收斂。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b/>
          <w:color w:val="0F172A"/>
          <w:sz w:val="27"/>
        </w:rPr>
        <w:t>三、 攻擊者畫像與 MITRE ATT&amp;CK 戰術映射 (Threat Actor Profiling)</w:t>
      </w:r>
    </w:p>
    <w:p>
      <w:pPr>
        <w:spacing w:after="80" w:line="276" w:lineRule="auto"/>
      </w:pPr>
      <w:r>
        <w:rPr>
          <w:color w:val="334155"/>
          <w:sz w:val="19"/>
        </w:rPr>
        <w:t>「TheGentlemen」勒索組織自 2025 年下半年崛起，具備高度組織化之雙重勒索營運特徵。其主要攻擊鏈（Attack Chain）映射如下：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0F172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ATT&amp;CK 階段</w:t>
            </w:r>
          </w:p>
        </w:tc>
        <w:tc>
          <w:tcPr>
            <w:tcW w:type="dxa" w:w="3312"/>
            <w:shd w:fill="0F172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戰術與技術手法 (TTPs)</w:t>
            </w:r>
          </w:p>
        </w:tc>
        <w:tc>
          <w:tcPr>
            <w:tcW w:type="dxa" w:w="3888"/>
            <w:shd w:fill="0F172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對應之藥華藥事件現況與防護缺口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color w:val="334155"/>
                <w:sz w:val="17"/>
              </w:rPr>
              <w:t>初始存取</w:t>
              <w:br/>
              <w:t>(Initial Access)</w:t>
            </w:r>
          </w:p>
        </w:tc>
        <w:tc>
          <w:tcPr>
            <w:tcW w:type="dxa" w:w="331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color w:val="334155"/>
                <w:sz w:val="17"/>
              </w:rPr>
              <w:t>T1078 (Valid Accounts)</w:t>
              <w:br/>
              <w:t>T1190 (Exploit Public-Facing App)</w:t>
            </w:r>
          </w:p>
        </w:tc>
        <w:tc>
          <w:tcPr>
            <w:tcW w:type="dxa" w:w="3888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color w:val="334155"/>
                <w:sz w:val="17"/>
              </w:rPr>
              <w:t>利用歷史外洩帳密（Infostealer Logs）或 VPN/邊界設備漏洞入侵泛泰醫療系統。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60" w:type="dxa"/>
              <w:right w:w="160" w:type="dxa"/>
            </w:tcMar>
            <w:shd w:fill="F8FAFC"/>
          </w:tcPr>
          <w:p>
            <w:r>
              <w:rPr>
                <w:color w:val="334155"/>
                <w:sz w:val="17"/>
              </w:rPr>
              <w:t>橫向移動</w:t>
              <w:br/>
              <w:t>(Lateral Movement)</w:t>
            </w:r>
          </w:p>
        </w:tc>
        <w:tc>
          <w:tcPr>
            <w:tcW w:type="dxa" w:w="3312"/>
            <w:tcMar>
              <w:top w:w="140" w:type="dxa"/>
              <w:bottom w:w="140" w:type="dxa"/>
              <w:left w:w="160" w:type="dxa"/>
              <w:right w:w="160" w:type="dxa"/>
            </w:tcMar>
            <w:shd w:fill="F8FAFC"/>
          </w:tcPr>
          <w:p>
            <w:r>
              <w:rPr>
                <w:color w:val="334155"/>
                <w:sz w:val="17"/>
              </w:rPr>
              <w:t>T1021.001 (Remote Desktop)</w:t>
              <w:br/>
              <w:t>T1047 (WMI Execution)</w:t>
            </w:r>
          </w:p>
        </w:tc>
        <w:tc>
          <w:tcPr>
            <w:tcW w:type="dxa" w:w="3888"/>
            <w:tcMar>
              <w:top w:w="140" w:type="dxa"/>
              <w:bottom w:w="140" w:type="dxa"/>
              <w:left w:w="160" w:type="dxa"/>
              <w:right w:w="160" w:type="dxa"/>
            </w:tcMar>
            <w:shd w:fill="F8FAFC"/>
          </w:tcPr>
          <w:p>
            <w:r>
              <w:rPr>
                <w:color w:val="334155"/>
                <w:sz w:val="17"/>
              </w:rPr>
              <w:t>利用子公司與母公司間未嚴格隔離之專線/VPN 信任通道進行內網探索。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color w:val="334155"/>
                <w:sz w:val="17"/>
              </w:rPr>
              <w:t>資料收集與外傳</w:t>
              <w:br/>
              <w:t>(Exfiltration)</w:t>
            </w:r>
          </w:p>
        </w:tc>
        <w:tc>
          <w:tcPr>
            <w:tcW w:type="dxa" w:w="331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color w:val="334155"/>
                <w:sz w:val="17"/>
              </w:rPr>
              <w:t>T1567 (Exfil Over Web Service)</w:t>
              <w:br/>
              <w:t>T1560 (Archive Collected Data)</w:t>
            </w:r>
          </w:p>
        </w:tc>
        <w:tc>
          <w:tcPr>
            <w:tcW w:type="dxa" w:w="3888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color w:val="334155"/>
                <w:sz w:val="17"/>
              </w:rPr>
              <w:t>打包未結構化之共享資料夾文件（財務試算表、合約掃描檔），外傳至駭客 C2。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60" w:type="dxa"/>
              <w:right w:w="160" w:type="dxa"/>
            </w:tcMar>
            <w:shd w:fill="F8FAFC"/>
          </w:tcPr>
          <w:p>
            <w:r>
              <w:rPr>
                <w:color w:val="334155"/>
                <w:sz w:val="17"/>
              </w:rPr>
              <w:t>多重勒索與施壓</w:t>
              <w:br/>
              <w:t>(Impact &amp; Extortion)</w:t>
            </w:r>
          </w:p>
        </w:tc>
        <w:tc>
          <w:tcPr>
            <w:tcW w:type="dxa" w:w="3312"/>
            <w:tcMar>
              <w:top w:w="140" w:type="dxa"/>
              <w:bottom w:w="140" w:type="dxa"/>
              <w:left w:w="160" w:type="dxa"/>
              <w:right w:w="160" w:type="dxa"/>
            </w:tcMar>
            <w:shd w:fill="F8FAFC"/>
          </w:tcPr>
          <w:p>
            <w:r>
              <w:rPr>
                <w:color w:val="334155"/>
                <w:sz w:val="17"/>
              </w:rPr>
              <w:t>T1486 (Data Encrypted)</w:t>
              <w:br/>
              <w:t>T1583.001 (Domains Typosquatting)</w:t>
            </w:r>
          </w:p>
        </w:tc>
        <w:tc>
          <w:tcPr>
            <w:tcW w:type="dxa" w:w="3888"/>
            <w:tcMar>
              <w:top w:w="140" w:type="dxa"/>
              <w:bottom w:w="140" w:type="dxa"/>
              <w:left w:w="160" w:type="dxa"/>
              <w:right w:w="160" w:type="dxa"/>
            </w:tcMar>
            <w:shd w:fill="F8FAFC"/>
          </w:tcPr>
          <w:p>
            <w:r>
              <w:rPr>
                <w:color w:val="334155"/>
                <w:sz w:val="17"/>
              </w:rPr>
              <w:t>暗網 DLS 點名施壓；註冊 pharmaessentiacorp.com 等仿冒網域發送勒索信。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color w:val="334155"/>
                <w:sz w:val="17"/>
              </w:rPr>
              <w:t>社交工程</w:t>
              <w:br/>
              <w:t>(Phishing)</w:t>
            </w:r>
          </w:p>
        </w:tc>
        <w:tc>
          <w:tcPr>
            <w:tcW w:type="dxa" w:w="331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color w:val="334155"/>
                <w:sz w:val="17"/>
              </w:rPr>
              <w:t>T1566.002 (Spearphishing Link)</w:t>
            </w:r>
          </w:p>
        </w:tc>
        <w:tc>
          <w:tcPr>
            <w:tcW w:type="dxa" w:w="3888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color w:val="334155"/>
                <w:sz w:val="17"/>
              </w:rPr>
              <w:t>向媒體與員工發送含 200 小時倒數查詢連結之釣魚信件，企圖二次收割憑證。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b/>
          <w:color w:val="0F172A"/>
          <w:sz w:val="27"/>
        </w:rPr>
        <w:t>四、 暗網洩密情報與外洩樣本深度鑑識 (Dark Web Intelligence)</w:t>
      </w:r>
    </w:p>
    <w:p>
      <w:pPr>
        <w:spacing w:after="80" w:line="276" w:lineRule="auto"/>
      </w:pPr>
      <w:r>
        <w:rPr>
          <w:color w:val="334155"/>
          <w:sz w:val="19"/>
        </w:rPr>
        <w:t>全球暗網威脅情報庫（Breach House / Darkfield / BreachSense）紀錄顯示：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9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line="276" w:lineRule="auto"/>
            </w:pPr>
            <w:r>
              <w:rPr>
                <w:b/>
                <w:color w:val="0F172A"/>
                <w:sz w:val="19"/>
              </w:rPr>
              <w:t>【暗網威脅情資驗證結果 (OSINT / CTI Verification)】</w:t>
              <w:br/>
            </w:r>
            <w:r>
              <w:rPr>
                <w:color w:val="334155"/>
                <w:sz w:val="18"/>
              </w:rPr>
              <w:t>• 洩密站標題：PharmaEssentia — THEGENTLEMEN Ransomware Attack</w:t>
              <w:br/>
              <w:t>• 暗網發布日期：2026 年 8 月 9 日 ～ 8 月 10 日</w:t>
              <w:br/>
              <w:t>• 洩漏宣稱樣態：展示部分檔案樹截圖（file_tree.png）、`finance_2024.xlsx`、`passport_scan.jpg`、`contract_signed.pdf`。</w:t>
              <w:br/>
              <w:t>• 鑑識比對判定：</w:t>
              <w:br/>
              <w:t xml:space="preserve">  1. 洩漏資料非核心：展示之文件為子公司一般行政、合約與財務試算檔案，並無大量未加密臨床 GCP 資料或專利 CMC 核心參數。</w:t>
              <w:br/>
              <w:t xml:space="preserve">  2. 心理施壓本質：TheGentlemen 慣用策略為『誇大外洩規模（Inflated Claims）』，透過零星行政文件製造公關恐慌以逼迫談判。</w:t>
              <w:br/>
              <w:t xml:space="preserve">  3. 歷史憑證暴露：情報庫檢索出 13 筆與 `@pharmaessentia.com` 相關之歷史外洩帳號，證實攻擊者極可能透過撞庫取得初始跳板。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b/>
          <w:color w:val="0F172A"/>
          <w:sz w:val="27"/>
        </w:rPr>
        <w:t>五、 生技製藥 GxP、資料隱私與上市櫃法遵衝擊評估</w:t>
      </w:r>
    </w:p>
    <w:p>
      <w:pPr>
        <w:spacing w:after="80" w:line="276" w:lineRule="auto"/>
      </w:pPr>
      <w:r>
        <w:rPr>
          <w:color w:val="334155"/>
          <w:sz w:val="19"/>
        </w:rPr>
        <w:t>依據 ICH Q9(R1) 品質風險管理原則，針對生醫產業核心合規維度進行評估：</w:t>
      </w:r>
    </w:p>
    <w:p>
      <w:pPr>
        <w:spacing w:after="80" w:line="276" w:lineRule="auto"/>
      </w:pPr>
      <w:r>
        <w:rPr>
          <w:color w:val="334155"/>
          <w:sz w:val="19"/>
        </w:rPr>
        <w:t>1. GxP 與 FDA 21 CFR Part 11 資料完整性：</w:t>
        <w:br/>
        <w:t xml:space="preserve">   • 台中蛋白質製造廠（GMP）之 SCADA / PLC 控制網路採實體與邏輯隔離，生產製程參數未受竄改，藥品批次生產紀錄（eBR）無完整性風險。</w:t>
        <w:br/>
        <w:t xml:space="preserve">   • 臨床試驗數據（EDC）及實驗室 LIMS 系統具備獨立權限與 Audit Trail，未受直接污染，試驗有效性無虞。</w:t>
      </w:r>
    </w:p>
    <w:p>
      <w:pPr>
        <w:spacing w:after="80" w:line="276" w:lineRule="auto"/>
      </w:pPr>
      <w:r>
        <w:rPr>
          <w:color w:val="334155"/>
          <w:sz w:val="19"/>
        </w:rPr>
        <w:t>2. 資料隱私與跨境合規（GDPR / HIPAA / 台灣個資法）：</w:t>
        <w:br/>
        <w:t xml:space="preserve">   • 涉及員工公務信箱名單與少數護照掃描檔外流，DPO 應完成外洩主體盤點與風險評估，並對受影響員工提供防詐指引。</w:t>
        <w:br/>
        <w:t xml:space="preserve">   • 未涉及大規模病患未去識別化健康個資（ePHI），未達 HIPAA/GDPR 重大懲罰性違規門檻。</w:t>
      </w:r>
    </w:p>
    <w:p>
      <w:pPr>
        <w:spacing w:after="80" w:line="276" w:lineRule="auto"/>
      </w:pPr>
      <w:r>
        <w:rPr>
          <w:color w:val="334155"/>
          <w:sz w:val="19"/>
        </w:rPr>
        <w:t>3. 資本市場與證交所揭露（TWSE MOPS）：</w:t>
        <w:br/>
        <w:t xml:space="preserve">   • 藥華藥於 8/3 當日發布重大訊息，符合『重大性原則與時效要求』；對外聲明堅持『已鑑識客觀事實』，有效降低市場非理性波動。</w:t>
      </w:r>
    </w:p>
    <w:p>
      <w:pPr>
        <w:keepNext/>
        <w:spacing w:before="320" w:after="120"/>
      </w:pPr>
      <w:r>
        <w:rPr>
          <w:b/>
          <w:color w:val="0F172A"/>
          <w:sz w:val="27"/>
        </w:rPr>
        <w:t>六、 根因分析 (RCA) 與 CISO 戰略防護加固清單</w:t>
      </w:r>
    </w:p>
    <w:p>
      <w:pPr>
        <w:spacing w:after="80" w:line="276" w:lineRule="auto"/>
      </w:pPr>
      <w:r>
        <w:rPr>
          <w:color w:val="334155"/>
          <w:sz w:val="19"/>
        </w:rPr>
        <w:t>本案暴露出跨國生技集團在數位擴張中的三大結構性防禦脆弱點，應列為就任後首要整改項目：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0F172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脆弱點根因 (Root Cause)</w:t>
            </w:r>
          </w:p>
        </w:tc>
        <w:tc>
          <w:tcPr>
            <w:tcW w:type="dxa" w:w="3168"/>
            <w:shd w:fill="0F172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風險曝險情境</w:t>
            </w:r>
          </w:p>
        </w:tc>
        <w:tc>
          <w:tcPr>
            <w:tcW w:type="dxa" w:w="3600"/>
            <w:shd w:fill="0F172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CISO 落地防護解法 (Remediation)</w:t>
            </w:r>
          </w:p>
        </w:tc>
      </w:tr>
      <w:tr>
        <w:tc>
          <w:tcPr>
            <w:tcW w:type="dxa" w:w="259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color w:val="334155"/>
                <w:sz w:val="17"/>
              </w:rPr>
              <w:t>子公司邊界信任過度</w:t>
              <w:br/>
              <w:t>(Subsidiary Hub-and-Spoke)</w:t>
            </w:r>
          </w:p>
        </w:tc>
        <w:tc>
          <w:tcPr>
            <w:tcW w:type="dxa" w:w="3168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color w:val="334155"/>
                <w:sz w:val="17"/>
              </w:rPr>
              <w:t>泛泰醫療與母公司專線缺乏微隔離，成為攻擊者橫向探索跳板。</w:t>
            </w:r>
          </w:p>
        </w:tc>
        <w:tc>
          <w:tcPr>
            <w:tcW w:type="dxa" w:w="3600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color w:val="334155"/>
                <w:sz w:val="17"/>
              </w:rPr>
              <w:t>切斷跨租戶與 Site-to-Site VPN 預設信任，全面導入 Zero Trust 邊界與條件式存取。</w:t>
            </w:r>
          </w:p>
        </w:tc>
      </w:tr>
      <w:tr>
        <w:tc>
          <w:tcPr>
            <w:tcW w:type="dxa" w:w="2592"/>
            <w:tcMar>
              <w:top w:w="140" w:type="dxa"/>
              <w:bottom w:w="140" w:type="dxa"/>
              <w:left w:w="160" w:type="dxa"/>
              <w:right w:w="160" w:type="dxa"/>
            </w:tcMar>
            <w:shd w:fill="F8FAFC"/>
          </w:tcPr>
          <w:p>
            <w:r>
              <w:rPr>
                <w:color w:val="334155"/>
                <w:sz w:val="17"/>
              </w:rPr>
              <w:t>非抗釣魚 MFA 缺口</w:t>
              <w:br/>
              <w:t>(Phishable Credentials)</w:t>
            </w:r>
          </w:p>
        </w:tc>
        <w:tc>
          <w:tcPr>
            <w:tcW w:type="dxa" w:w="3168"/>
            <w:tcMar>
              <w:top w:w="140" w:type="dxa"/>
              <w:bottom w:w="140" w:type="dxa"/>
              <w:left w:w="160" w:type="dxa"/>
              <w:right w:w="160" w:type="dxa"/>
            </w:tcMar>
            <w:shd w:fill="F8FAFC"/>
          </w:tcPr>
          <w:p>
            <w:r>
              <w:rPr>
                <w:color w:val="334155"/>
                <w:sz w:val="17"/>
              </w:rPr>
              <w:t>使用傳統密碼或推播 OTP，遭攻擊者利用撞庫或 Infostealer 繞過。</w:t>
            </w:r>
          </w:p>
        </w:tc>
        <w:tc>
          <w:tcPr>
            <w:tcW w:type="dxa" w:w="3600"/>
            <w:tcMar>
              <w:top w:w="140" w:type="dxa"/>
              <w:bottom w:w="140" w:type="dxa"/>
              <w:left w:w="160" w:type="dxa"/>
              <w:right w:w="160" w:type="dxa"/>
            </w:tcMar>
            <w:shd w:fill="F8FAFC"/>
          </w:tcPr>
          <w:p>
            <w:r>
              <w:rPr>
                <w:color w:val="334155"/>
                <w:sz w:val="17"/>
              </w:rPr>
              <w:t>人員互動式特權帳號與遠端存取 100% 強制 FIDO2 / WebAuthn 硬體金鑰。</w:t>
            </w:r>
          </w:p>
        </w:tc>
      </w:tr>
      <w:tr>
        <w:tc>
          <w:tcPr>
            <w:tcW w:type="dxa" w:w="259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color w:val="334155"/>
                <w:sz w:val="17"/>
              </w:rPr>
              <w:t>品牌與偽冒網域防護不足</w:t>
              <w:br/>
              <w:t>(Typosquatting &amp; Email)</w:t>
            </w:r>
          </w:p>
        </w:tc>
        <w:tc>
          <w:tcPr>
            <w:tcW w:type="dxa" w:w="3168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color w:val="334155"/>
                <w:sz w:val="17"/>
              </w:rPr>
              <w:t>駭客註冊 pharmaessentiacorp.com 寄信給媒體與員工造成二次混淆。</w:t>
            </w:r>
          </w:p>
        </w:tc>
        <w:tc>
          <w:tcPr>
            <w:tcW w:type="dxa" w:w="3600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color w:val="334155"/>
                <w:sz w:val="17"/>
              </w:rPr>
              <w:t>全域郵件分階段實施 DMARC p=reject；部署外部攻擊面測繪（EASM）即時下架仿冒網域。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b/>
          <w:color w:val="0F172A"/>
          <w:sz w:val="27"/>
        </w:rPr>
        <w:t>七、 給董事會的結論與治理建言 (Board Conclusion &amp; Recommendations)</w:t>
      </w:r>
    </w:p>
    <w:p>
      <w:pPr>
        <w:spacing w:after="80" w:line="276" w:lineRule="auto"/>
      </w:pPr>
      <w:r>
        <w:rPr>
          <w:color w:val="334155"/>
          <w:sz w:val="19"/>
        </w:rPr>
        <w:t>本案證實藥華藥過去在『核心專利與生產製造底層加密』上的防禦基礎發揮了關鍵減災效果，阻斷了最嚴重的災難性後果（核心專利外洩或產線停擺）。</w:t>
      </w:r>
    </w:p>
    <w:p>
      <w:pPr>
        <w:spacing w:after="80" w:line="276" w:lineRule="auto"/>
      </w:pPr>
      <w:r>
        <w:rPr>
          <w:color w:val="334155"/>
          <w:sz w:val="19"/>
        </w:rPr>
        <w:t>然而，面對以 TheGentlemen 為代表的現代勒索組織，資安治理必須由單純的『主機防護』升級為『全域身分零信任、跨國子公司聯防、不可變備份與品牌主動防詐』。</w:t>
      </w:r>
    </w:p>
    <w:p>
      <w:pPr>
        <w:spacing w:after="80" w:line="276" w:lineRule="auto"/>
      </w:pPr>
      <w:r>
        <w:rPr>
          <w:color w:val="334155"/>
          <w:sz w:val="19"/>
        </w:rPr>
        <w:t>集團資安長候選人 廖倫豪 博士 承諾就任後將全面落實 NIST CSF 2.0 治理體系，在 180 天內將本次事件之教訓轉化為集團永續競爭力與數位韌性資產，守護股東價值、病患安全與全球商業化版圖。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fill="0F172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調查與報告主筆人</w:t>
            </w:r>
          </w:p>
        </w:tc>
        <w:tc>
          <w:tcPr>
            <w:tcW w:type="dxa" w:w="3168"/>
            <w:shd w:fill="0F172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審查 (Audit Committee / CEO)</w:t>
            </w:r>
          </w:p>
        </w:tc>
        <w:tc>
          <w:tcPr>
            <w:tcW w:type="dxa" w:w="3168"/>
            <w:shd w:fill="0F172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核定 (Board of Directors)</w:t>
            </w:r>
          </w:p>
        </w:tc>
      </w:tr>
      <w:tr>
        <w:tc>
          <w:tcPr>
            <w:tcW w:type="dxa" w:w="3024"/>
            <w:tcMar>
              <w:top w:w="180" w:type="dxa"/>
              <w:bottom w:w="180" w:type="dxa"/>
              <w:left w:w="150" w:type="dxa"/>
              <w:right w:w="150" w:type="dxa"/>
            </w:tcMar>
          </w:tcPr>
          <w:p>
            <w:r>
              <w:rPr>
                <w:color w:val="334155"/>
                <w:sz w:val="18"/>
              </w:rPr>
              <w:t>簽名：____________________</w:t>
              <w:br/>
              <w:t>廖倫豪 博士 (Howard Liao, Ph.D.)</w:t>
              <w:br/>
              <w:t>Group CISO 候選人</w:t>
              <w:br/>
              <w:t>日期：2026 年 8 月    日</w:t>
            </w:r>
          </w:p>
        </w:tc>
        <w:tc>
          <w:tcPr>
            <w:tcW w:type="dxa" w:w="3168"/>
            <w:tcMar>
              <w:top w:w="180" w:type="dxa"/>
              <w:bottom w:w="180" w:type="dxa"/>
              <w:left w:w="150" w:type="dxa"/>
              <w:right w:w="150" w:type="dxa"/>
            </w:tcMar>
          </w:tcPr>
          <w:p>
            <w:r>
              <w:rPr>
                <w:color w:val="334155"/>
                <w:sz w:val="18"/>
              </w:rPr>
              <w:t>簽名：____________________</w:t>
              <w:br/>
              <w:t>總經理 / 審計委員會召集人</w:t>
              <w:br/>
              <w:br/>
              <w:t>日期：2026 年 8 月    日</w:t>
            </w:r>
          </w:p>
        </w:tc>
        <w:tc>
          <w:tcPr>
            <w:tcW w:type="dxa" w:w="3168"/>
            <w:tcMar>
              <w:top w:w="180" w:type="dxa"/>
              <w:bottom w:w="180" w:type="dxa"/>
              <w:left w:w="150" w:type="dxa"/>
              <w:right w:w="150" w:type="dxa"/>
            </w:tcMar>
          </w:tcPr>
          <w:p>
            <w:r>
              <w:rPr>
                <w:color w:val="334155"/>
                <w:sz w:val="18"/>
              </w:rPr>
              <w:t>簽名：____________________</w:t>
              <w:br/>
              <w:t>董事長 / 董事會代表</w:t>
              <w:br/>
              <w:br/>
              <w:t>日期：2026 年 8 月    日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4A3B8"/>
        <w:sz w:val="17"/>
      </w:rPr>
      <w:t>― Confidential ｜ Prepared by Howard Liao Ph.D., Candidate for Group CISO ―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94A3B8"/>
        <w:sz w:val="17"/>
      </w:rPr>
      <w:t>藥華醫藥（6446）資安事件調查與威脅評估報告 ｜ 極機密 (TLP:AMBER+STRICT)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