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jc w:val="center"/>
      </w:pPr>
      <w:r>
        <w:rPr>
          <w:rFonts w:ascii="Arial" w:hAnsi="Arial"/>
          <w:b/>
          <w:color w:val="E8590C"/>
          <w:sz w:val="19"/>
        </w:rPr>
        <w:t>● ─── PHARMAESSENTIA 6446.TW ｜ PREVENTIVE GOVERNANCE FRAMEWORK ─── ▲</w:t>
      </w:r>
    </w:p>
    <w:p>
      <w:pPr>
        <w:spacing w:after="160"/>
        <w:jc w:val="center"/>
      </w:pPr>
      <w:r>
        <w:rPr>
          <w:rFonts w:ascii="Arial" w:hAnsi="Arial"/>
          <w:b/>
          <w:color w:val="1F2022"/>
          <w:sz w:val="42"/>
        </w:rPr>
        <w:t>藥華醫藥集團 日常（日/週/月/季/年）主動預防資安監控與治理報告體系</w:t>
      </w:r>
    </w:p>
    <w:p>
      <w:pPr>
        <w:spacing w:after="280"/>
        <w:jc w:val="center"/>
      </w:pPr>
      <w:r>
        <w:rPr>
          <w:rFonts w:ascii="Arial" w:hAnsi="Arial"/>
          <w:color w:val="6E737A"/>
          <w:sz w:val="22"/>
        </w:rPr>
        <w:t>從戰時救火邁向長態免疫：建立全天候早期預警、GxP 資料完整性與董事會信任總綱</w:t>
      </w:r>
    </w:p>
    <w:p>
      <w:pPr>
        <w:spacing w:after="360"/>
        <w:jc w:val="center"/>
      </w:pPr>
      <w:r>
        <w:rPr>
          <w:color w:val="E8590C"/>
          <w:sz w:val="16"/>
        </w:rPr>
        <w:t>● ══════════════════ ✦ ══════════════════ ▲</w:t>
      </w:r>
    </w:p>
    <w:p>
      <w:pPr>
        <w:spacing w:after="360"/>
        <w:jc w:val="center"/>
      </w:pPr>
      <w:r>
        <w:rPr>
          <w:rFonts w:ascii="Arial" w:hAnsi="Arial"/>
          <w:color w:val="6E737A"/>
          <w:sz w:val="17"/>
        </w:rPr>
        <w:t>規劃提案人：廖倫豪 博士 (Howard Liao, Ph.D.) ｜ Group CISO 候選人</w:t>
        <w:br/>
        <w:t>呈報對象：董事會 ｜ 審計委員會 ｜ 總經理 ｜ 各職能處室 ｜ 安全密級：機密 (TLP:CLEAR)</w:t>
      </w:r>
    </w:p>
    <w:p>
      <w:pPr>
        <w:keepNext/>
        <w:spacing w:before="360" w:after="120"/>
      </w:pPr>
      <w:r>
        <w:rPr>
          <w:rFonts w:ascii="Arial" w:hAnsi="Arial"/>
          <w:b/>
          <w:color w:val="E8590C"/>
          <w:sz w:val="24"/>
        </w:rPr>
        <w:t xml:space="preserve">▍ </w:t>
      </w:r>
      <w:r>
        <w:rPr>
          <w:rFonts w:ascii="Arial" w:hAnsi="Arial"/>
          <w:b/>
          <w:color w:val="1F2022"/>
          <w:sz w:val="26"/>
        </w:rPr>
        <w:t>一、 總體戰略：從「被動應變」轉型為「主動免疫」的報告體系</w:t>
      </w:r>
    </w:p>
    <w:p>
      <w:pPr>
        <w:spacing w:after="80" w:line="300" w:lineRule="auto"/>
      </w:pPr>
      <w:r>
        <w:rPr>
          <w:rFonts w:ascii="Arial" w:hAnsi="Arial"/>
          <w:color w:val="232629"/>
          <w:sz w:val="19"/>
        </w:rPr>
        <w:t>我是廖倫豪博士。藥華醫藥本次遭遇的勒索滲透事件，深刻凸顯出『僅在出事時救火』的被動模式存在巨大營運與法遵風險。要徹底杜絕類似攻擊重演，我為藥華醫藥設計了一套涵蓋【日、週、月、季、年】五大週期的主動預防報告體系。</w:t>
      </w:r>
    </w:p>
    <w:p>
      <w:pPr>
        <w:spacing w:after="80" w:line="300" w:lineRule="auto"/>
      </w:pPr>
      <w:r>
        <w:rPr>
          <w:rFonts w:ascii="Arial" w:hAnsi="Arial"/>
          <w:color w:val="232629"/>
          <w:sz w:val="19"/>
        </w:rPr>
        <w:t>這套體系將『端點監控、身分特權、外部暴露面、GxP 確效、不可變備份與董事會 KRI』緊密結合，確保任何微小異常（如單一帳密外洩、可疑網域註冊、VPN 異常嘗試、LIMS 軌跡修改）均能在幾分鐘至幾小時內被主動捕捉並消滅。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FF5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b/>
                <w:color w:val="E8590C"/>
                <w:sz w:val="20"/>
              </w:rPr>
              <w:t>⚡ FIVE-TIER PREVENTIVE CADENCE ｜ 五大週期預防核心方針</w:t>
              <w:br/>
            </w:r>
            <w:r>
              <w:rPr>
                <w:rFonts w:ascii="Arial" w:hAnsi="Arial"/>
                <w:color w:val="232629"/>
                <w:sz w:val="19"/>
              </w:rPr>
              <w:t>• 日報 (Daily)：7x24 戰術級微觀監控 —— 鎖定異常提權、C2 探索、外部仿冒網域與高危告警。</w:t>
              <w:br/>
              <w:t>• 週報 (Weekly)：運維健康度與修補推進 —— 追蹤漏洞修補 SLA、子公司專線流量與 DMARC 攔截。</w:t>
              <w:br/>
              <w:t>• 月報 (Monthly)：系統韌性與 GxP 合規檢核 —— 驗證不可變備份可讀性、LIMS/MES Audit Trail 與身分複核。</w:t>
              <w:br/>
              <w:t>• 季報 (Quarterly)：董事會風險胃納與兵推 —— 向審計委員會提報雙軌 KRI/KPI、供應鏈評鑑與實戰演練。</w:t>
              <w:br/>
              <w:t>• 年報 (Annual)：總體架構轉型與預算結算 —— 結算 NIST CSF 2.0 成熟度、ISO 認證與資安保險覆蓋。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E8590C"/>
          <w:sz w:val="24"/>
        </w:rPr>
        <w:t xml:space="preserve">▍ </w:t>
      </w:r>
      <w:r>
        <w:rPr>
          <w:rFonts w:ascii="Arial" w:hAnsi="Arial"/>
          <w:b/>
          <w:color w:val="1F2022"/>
          <w:sz w:val="26"/>
        </w:rPr>
        <w:t>二、 日報體系：7x24 早期預警與即時止血 (Daily Reports)</w:t>
      </w:r>
    </w:p>
    <w:p>
      <w:pPr>
        <w:spacing w:after="80" w:line="300" w:lineRule="auto"/>
      </w:pPr>
      <w:r>
        <w:rPr>
          <w:rFonts w:ascii="Arial" w:hAnsi="Arial"/>
          <w:color w:val="232629"/>
          <w:sz w:val="19"/>
        </w:rPr>
        <w:t>日報聚焦於『第一時間發現異常，當日完成處置』，由 SOC 與技術團隊每日上午 09:00 前產出：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報告名稱</w:t>
            </w:r>
          </w:p>
        </w:tc>
        <w:tc>
          <w:tcPr>
            <w:tcW w:type="dxa" w:w="1440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主責單位</w:t>
            </w:r>
          </w:p>
        </w:tc>
        <w:tc>
          <w:tcPr>
            <w:tcW w:type="dxa" w:w="158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接收對象</w:t>
            </w:r>
          </w:p>
        </w:tc>
        <w:tc>
          <w:tcPr>
            <w:tcW w:type="dxa" w:w="3168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核心監控內容與數據指標</w:t>
            </w:r>
          </w:p>
        </w:tc>
        <w:tc>
          <w:tcPr>
            <w:tcW w:type="dxa" w:w="2448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預防發動門檻 (Trigger Action)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《SOC 7x24 威脅監控與高危告警日報》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SecOps / SOC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CISO (我)</w:t>
              <w:br/>
              <w:t>IT 主管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全集團 SIEM/EDR 近 24h 告警分類、惡意程式攔截數、可疑 PowerShell/WMI 執行紀錄、未解告警清單。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出現 Critical 告警或 Mimikatz 傾印特徵，15 分鐘內啟動端點隔離。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《EASM 外部攻擊面與仿冒網域監控日報》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威脅情資組</w:t>
              <w:br/>
              <w:t>(CTI Lead)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CISO (我)</w:t>
              <w:br/>
              <w:t>法務 / 公關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公網暴露 IP/Port 異動監控、新註冊之相似仿冒網域（Typosquatting）、暗網洩密情報偵測。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發現可疑仿冒網域，當日向 Registrar 與 TWCERT/CC 提報 Takedown。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《特權帳號登入與身分異常日報》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MIS / IAM 組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SecOps</w:t>
              <w:br/>
              <w:t>CISO (我)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Domain Admins 登入時間與來源 IP、VPN 不可能移動登入（Impossible Travel）、失敗密碼噴灑次數。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發現非營業時間異常特權登入，立即暫停帳號並強制 FIDO2 驗證。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E8590C"/>
          <w:sz w:val="24"/>
        </w:rPr>
        <w:t xml:space="preserve">▍ </w:t>
      </w:r>
      <w:r>
        <w:rPr>
          <w:rFonts w:ascii="Arial" w:hAnsi="Arial"/>
          <w:b/>
          <w:color w:val="1F2022"/>
          <w:sz w:val="26"/>
        </w:rPr>
        <w:t>三、 週報體系：運維健康度與防禦縱深推進 (Weekly Reports)</w:t>
      </w:r>
    </w:p>
    <w:p>
      <w:pPr>
        <w:spacing w:after="80" w:line="300" w:lineRule="auto"/>
      </w:pPr>
      <w:r>
        <w:rPr>
          <w:rFonts w:ascii="Arial" w:hAnsi="Arial"/>
          <w:color w:val="232629"/>
          <w:sz w:val="19"/>
        </w:rPr>
        <w:t>週報聚焦於『收斂暴露面、追蹤修補進度與跨國連線狀態』，每週五下班前發布：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報告名稱</w:t>
            </w:r>
          </w:p>
        </w:tc>
        <w:tc>
          <w:tcPr>
            <w:tcW w:type="dxa" w:w="1440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主責單位</w:t>
            </w:r>
          </w:p>
        </w:tc>
        <w:tc>
          <w:tcPr>
            <w:tcW w:type="dxa" w:w="158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接收對象</w:t>
            </w:r>
          </w:p>
        </w:tc>
        <w:tc>
          <w:tcPr>
            <w:tcW w:type="dxa" w:w="3168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核心監控內容與數據指標</w:t>
            </w:r>
          </w:p>
        </w:tc>
        <w:tc>
          <w:tcPr>
            <w:tcW w:type="dxa" w:w="2448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預防發動門檻 (Trigger Action)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《弱點掃描與修補 SLA 追蹤週報》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SecOps /</w:t>
              <w:br/>
              <w:t>IT 基礎組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CIO / CISO</w:t>
              <w:br/>
              <w:t>各系統 Owner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外部與內部自動弱點掃描結果、Critical 弱點修補 SLA（24-72h 達標率）、未修補例外登記表。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Internet-facing 弱點逾期未修補，強制下線或套用 WAF 阻斷。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《子公司與跨網專線健康週報》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網路維運組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IT Director</w:t>
              <w:br/>
              <w:t>CISO (我)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泛泰醫療及美/日/歐海外據點 VPN 流量分析、跨網通訊埠（445/3389）攔截次數、異常大流量 Egress。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跨網流量超過基準線 300%，立即限速並觸發深入日誌調查。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《全域郵件安全與 DMARC 攔截週報》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郵件維運組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CISO (我)</w:t>
              <w:br/>
              <w:t>資安工程師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SPF/DKIM 對齊率、DMARC 阻斷郵件數（p=reject 執行率）、員工可疑釣魚郵件通報統計。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釣魚郵件通報累積 3 起同源特徵，全集團派發郵件規則自動撤回。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E8590C"/>
          <w:sz w:val="24"/>
        </w:rPr>
        <w:t xml:space="preserve">▍ </w:t>
      </w:r>
      <w:r>
        <w:rPr>
          <w:rFonts w:ascii="Arial" w:hAnsi="Arial"/>
          <w:b/>
          <w:color w:val="1F2022"/>
          <w:sz w:val="26"/>
        </w:rPr>
        <w:t>四、 月報體系：系統數位韌性與生醫 GxP 合規審查 (Monthly Reports)</w:t>
      </w:r>
    </w:p>
    <w:p>
      <w:pPr>
        <w:spacing w:after="80" w:line="300" w:lineRule="auto"/>
      </w:pPr>
      <w:r>
        <w:rPr>
          <w:rFonts w:ascii="Arial" w:hAnsi="Arial"/>
          <w:color w:val="232629"/>
          <w:sz w:val="19"/>
        </w:rPr>
        <w:t>月報聚焦於『資料不可變備份、生醫品質資料完整性與身分權限審核』，每月 5 日前呈交：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報告名稱</w:t>
            </w:r>
          </w:p>
        </w:tc>
        <w:tc>
          <w:tcPr>
            <w:tcW w:type="dxa" w:w="1440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主責單位</w:t>
            </w:r>
          </w:p>
        </w:tc>
        <w:tc>
          <w:tcPr>
            <w:tcW w:type="dxa" w:w="158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接收對象</w:t>
            </w:r>
          </w:p>
        </w:tc>
        <w:tc>
          <w:tcPr>
            <w:tcW w:type="dxa" w:w="3168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核心監控內容與數據指標</w:t>
            </w:r>
          </w:p>
        </w:tc>
        <w:tc>
          <w:tcPr>
            <w:tcW w:type="dxa" w:w="2448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預防發動門檻 (Trigger Action)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《不可變備份健康與還原演練月報》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基礎架構組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CIO / CISO</w:t>
              <w:br/>
              <w:t>QA 確效主管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Veeam/S3 Object Lock 不可變鎖定驗證、Tier-0/1 資料庫抽樣還原成功率、RTO/RPO 實測數據。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還原測試失敗項目，限期 30 日內完成根因修復與再測試。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《GxP / 21 CFR Part 11 Audit Trail 月報》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品質 QA /</w:t>
              <w:br/>
              <w:t>CSV 專員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品質主管</w:t>
              <w:br/>
              <w:t>CISO (我)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LIMS、CDS 層析系統與 MES 批次記錄 Audit Trail 異常過濾、時間戳跳躍檢查、未授權變更審查。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發現 Audit Trail 異常修改，立即發起 Deviation 偏差調查。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《全域身分目錄與特權帳號複核月報》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MIS / IAM 組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內部稽核室</w:t>
              <w:br/>
              <w:t>CISO (我)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Domain Admins 權限變更清冊、閒置帳號（&gt;30天）清理率、委外廠商帳號開關紀錄、MFA 覆蓋率。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未完成抗釣魚 MFA 之特權帳號，次月 1 日自動停用權限。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《員工社交工程與釣魚模擬演練月報》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資安教育組</w:t>
              <w:br/>
              <w:t>/ HR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全體主管</w:t>
              <w:br/>
              <w:t>CISO (我)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隨機釣魚郵件點擊率、員工 10 分鐘內主動通報率、高風險人員名單與再訓練成效。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部門點擊率 &gt; 5%，部門主管及全員強制參加實體資安強化課程。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E8590C"/>
          <w:sz w:val="24"/>
        </w:rPr>
        <w:t xml:space="preserve">▍ </w:t>
      </w:r>
      <w:r>
        <w:rPr>
          <w:rFonts w:ascii="Arial" w:hAnsi="Arial"/>
          <w:b/>
          <w:color w:val="1F2022"/>
          <w:sz w:val="26"/>
        </w:rPr>
        <w:t>五、 季報與年報體系：董事會風險胃納、供應鏈與年度戰略 (Quarterly &amp; Annual)</w:t>
      </w:r>
    </w:p>
    <w:p>
      <w:pPr>
        <w:spacing w:after="80" w:line="300" w:lineRule="auto"/>
      </w:pPr>
      <w:r>
        <w:rPr>
          <w:rFonts w:ascii="Arial" w:hAnsi="Arial"/>
          <w:color w:val="232629"/>
          <w:sz w:val="19"/>
        </w:rPr>
        <w:t>季報與年報聚焦於『董事會治理、資本市場揭露、第三方供應鏈風險與長期投資模型』：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報告名稱</w:t>
            </w:r>
          </w:p>
        </w:tc>
        <w:tc>
          <w:tcPr>
            <w:tcW w:type="dxa" w:w="1440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主責單位</w:t>
            </w:r>
          </w:p>
        </w:tc>
        <w:tc>
          <w:tcPr>
            <w:tcW w:type="dxa" w:w="158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接收對象</w:t>
            </w:r>
          </w:p>
        </w:tc>
        <w:tc>
          <w:tcPr>
            <w:tcW w:type="dxa" w:w="3168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核心監控內容與數據指標</w:t>
            </w:r>
          </w:p>
        </w:tc>
        <w:tc>
          <w:tcPr>
            <w:tcW w:type="dxa" w:w="2448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預防發動門檻 (Trigger Action)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【季報】《董事會與審計委員會資安治理報告》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集團 CISO</w:t>
              <w:br/>
              <w:t>(我)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董事會</w:t>
              <w:br/>
              <w:t>審計委員會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雙軌 KRI/KPI 達成率（P90 指標）、重大風險例外清冊、法遵缺口審查、下季防禦重點。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KRI 超出核定風險胃納，由 CISO 提報專案補償控制方案。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【季報】《第三方供應鏈（SCRM）資安評鑑季報》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供應鏈資安組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採購處 / QA</w:t>
              <w:br/>
              <w:t>CISO (我)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CRO 臨床試驗夥伴、CDMO 製造廠商、SaaS 廠商資安合約合規率（24h 通報、日誌、備份條款）。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評鑑未達標廠商，限期 60 日改善，逾期暫停業務發包。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【季報】《重大資安事件兵推與 BCP 演練季報》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BCM / IR 組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總經理</w:t>
              <w:br/>
              <w:t>專案應變部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董事會 Tabletop 兵推成果、勒索軟體與 BEC 劇本實戰演練檢討、Clean Room 還原實測。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產出演練改善清單，納入各技術部門次季 KPI 考核。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【年報】《集團年度資安成熟度與轉型報告》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集團 CISO</w:t>
              <w:br/>
              <w:t>(我)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董事會</w:t>
              <w:br/>
              <w:t>ESG 委員會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依 NIST CSF 2.0 六大功能結算成熟度 Tier 等級、年度 TCO 投資效益、永續韌性指標。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  <w:shd w:fill="F9FAFB"/>
          </w:tcPr>
          <w:p>
            <w:r>
              <w:rPr>
                <w:rFonts w:ascii="Arial" w:hAnsi="Arial"/>
                <w:color w:val="232629"/>
                <w:sz w:val="16"/>
              </w:rPr>
              <w:t>依據年度評估結果，制定次年度資安資本支出（CapEx）預算。</w:t>
            </w:r>
          </w:p>
        </w:tc>
      </w:tr>
      <w:tr>
        <w:tc>
          <w:tcPr>
            <w:tcW w:type="dxa" w:w="216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【年報】《ISO 27001 / ISO 42001 稽核總結年報》</w:t>
            </w:r>
          </w:p>
        </w:tc>
        <w:tc>
          <w:tcPr>
            <w:tcW w:type="dxa" w:w="144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資安合規組</w:t>
              <w:br/>
              <w:t>/ 稽核室</w:t>
            </w:r>
          </w:p>
        </w:tc>
        <w:tc>
          <w:tcPr>
            <w:tcW w:type="dxa" w:w="1584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32629"/>
                <w:sz w:val="16"/>
              </w:rPr>
              <w:t>審計委員會</w:t>
              <w:br/>
              <w:t>總經理</w:t>
            </w:r>
          </w:p>
        </w:tc>
        <w:tc>
          <w:tcPr>
            <w:tcW w:type="dxa" w:w="316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ISMS / AIMS 外部第三方認證查核結果、不符合項改善報告、重大管理審查結論。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color w:val="232629"/>
                <w:sz w:val="16"/>
              </w:rPr>
              <w:t>未通過認證項，於 90 日內完成矯正與預防措施（CAPA）。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Arial" w:hAnsi="Arial"/>
          <w:b/>
          <w:color w:val="E8590C"/>
          <w:sz w:val="24"/>
        </w:rPr>
        <w:t xml:space="preserve">▍ </w:t>
      </w:r>
      <w:r>
        <w:rPr>
          <w:rFonts w:ascii="Arial" w:hAnsi="Arial"/>
          <w:b/>
          <w:color w:val="1F2022"/>
          <w:sz w:val="26"/>
        </w:rPr>
        <w:t>六、 執行成效：如何透過報告體系事前預防本次事件？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FF5F0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line="288" w:lineRule="auto"/>
            </w:pPr>
            <w:r>
              <w:rPr>
                <w:rFonts w:ascii="Arial" w:hAnsi="Arial"/>
                <w:b/>
                <w:color w:val="E8590C"/>
                <w:sz w:val="20"/>
              </w:rPr>
              <w:t>⚡ HOW THIS CADENCE PREVENTS RANSOMWARE ｜ 預防機制的實戰價值</w:t>
              <w:br/>
            </w:r>
            <w:r>
              <w:rPr>
                <w:rFonts w:ascii="Arial" w:hAnsi="Arial"/>
                <w:color w:val="232629"/>
                <w:sz w:val="19"/>
              </w:rPr>
              <w:t>1. 堵住初始破口：透過【日報】EASM 與 VPN 連線日誌，在第 1 天即可發現泛泰醫療的未受控邊界與外洩帳號撞庫，當日停用。</w:t>
              <w:br/>
              <w:t>2. 阻斷橫向滲透：透過【週報】子公司專線流量分析與【日報】LSASS/WMI 監控，在攻擊者進行內網探索時立即下發 Host Isolation。</w:t>
              <w:br/>
              <w:t>3. 守死專利與生產：透過【月報】Audit Trail 與不可變備份驗證，確保即使外圍受害，核心專利 CMC 與台中 GMP 產線永遠擁有乾淨復原點。</w:t>
              <w:br/>
              <w:t>4. 瓦解公關施壓：透過【日報】仿冒網域下架與【週報】DMARC p=reject，攻擊者無法利用偽冒郵件向媒體或員工發送信件進行二次勒索。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規劃提案人 (我 / CISO Candidate)</w:t>
            </w:r>
          </w:p>
        </w:tc>
        <w:tc>
          <w:tcPr>
            <w:tcW w:type="dxa" w:w="302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審閱 (CHRO / CIO)</w:t>
            </w:r>
          </w:p>
        </w:tc>
        <w:tc>
          <w:tcPr>
            <w:tcW w:type="dxa" w:w="3024"/>
            <w:shd w:fill="1F2022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核定 (Board / Audit Committee)</w:t>
            </w:r>
          </w:p>
        </w:tc>
      </w:tr>
      <w:tr>
        <w:tc>
          <w:tcPr>
            <w:tcW w:type="dxa" w:w="2880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簽名：____________________</w:t>
              <w:br/>
              <w:t>廖倫豪 博士 (Howard Liao, Ph.D.)</w:t>
              <w:br/>
              <w:t>Group CISO 候選人</w:t>
              <w:br/>
              <w:t>日期：2026 年 8 月    日</w:t>
            </w:r>
          </w:p>
        </w:tc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簽名：____________________</w:t>
              <w:br/>
              <w:t>人資長 / 資訊長 代表</w:t>
              <w:br/>
              <w:br/>
              <w:t>日期：2026 年 8 月    日</w:t>
            </w:r>
          </w:p>
        </w:tc>
        <w:tc>
          <w:tcPr>
            <w:tcW w:type="dxa" w:w="3024"/>
            <w:tcMar>
              <w:top w:w="180" w:type="dxa"/>
              <w:bottom w:w="18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232629"/>
                <w:sz w:val="17"/>
              </w:rPr>
              <w:t>簽名：____________________</w:t>
              <w:br/>
              <w:t>董事長 / 審計委員會代表</w:t>
              <w:br/>
              <w:br/>
              <w:t>日期：2026 年 8 月   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36E"/>
        <w:sz w:val="16"/>
      </w:rPr>
      <w:t>― Routine Preventive Governance ｜ NIST CSF 2.0 &amp; GxP Compliance 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36E"/>
        <w:sz w:val="16"/>
      </w:rPr>
      <w:t>PHARMAESSENTIA ｜ PREVENTIVE CYBER REPORTING CADENCE ｜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