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Arial" w:hAnsi="Arial"/>
          <w:b/>
          <w:color w:val="FF6B35"/>
          <w:sz w:val="19"/>
        </w:rPr>
        <w:t>PHARMAESSENTIA 6446.TW ｜ CYBER RESILIENCE STRATEGIC DOSSIER</w:t>
      </w:r>
    </w:p>
    <w:p>
      <w:pPr>
        <w:spacing w:after="160"/>
        <w:jc w:val="center"/>
      </w:pPr>
      <w:r>
        <w:rPr>
          <w:rFonts w:ascii="Arial" w:hAnsi="Arial"/>
          <w:b/>
          <w:color w:val="1F2022"/>
          <w:sz w:val="44"/>
        </w:rPr>
        <w:t>全球資安治理與戰時應變策略報告</w:t>
      </w:r>
    </w:p>
    <w:p>
      <w:pPr>
        <w:spacing w:after="280"/>
        <w:jc w:val="center"/>
      </w:pPr>
      <w:r>
        <w:rPr>
          <w:rFonts w:ascii="Arial" w:hAnsi="Arial"/>
          <w:color w:val="6E737A"/>
          <w:sz w:val="23"/>
        </w:rPr>
        <w:t>事件鑑識、GxP 品質確效與 180 天 CISO 就任戰略白皮書</w:t>
      </w:r>
    </w:p>
    <w:p>
      <w:pPr>
        <w:spacing w:after="360"/>
        <w:jc w:val="center"/>
      </w:pPr>
      <w:r>
        <w:rPr>
          <w:color w:val="FF6B35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after="400"/>
        <w:jc w:val="center"/>
      </w:pPr>
      <w:r>
        <w:rPr>
          <w:rFonts w:ascii="Arial" w:hAnsi="Arial"/>
          <w:color w:val="6E737A"/>
          <w:sz w:val="18"/>
        </w:rPr>
        <w:t>報告主筆：廖倫豪 博士 (Howard Liao, Ph.D.) ｜ Group CISO 候選人</w:t>
        <w:br/>
        <w:t>呈報對象：董事會 ｜ 審計委員會 ｜ 總經理 ｜ 人資長 ｜ 期間：2026 年 Q3 ｜ 密級：極機密 (TLP:AMBER)</w:t>
      </w: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一、 執行摘要：我的五大核心戰略判定 (Executive Takeaways)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我是廖倫豪博士。作為藥華醫藥集團資安長（Group CISO）候選人，我基於公開重大訊息、開源威脅情報（OSINT/CTI）、暗網追蹤數據及生技製藥 GxP 合規標準，對公司當前遭遇之資安威脅進行了全面性鑑識與治理剖析。我的五大核心判定如下：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5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FF6B35"/>
                <w:sz w:val="20"/>
              </w:rPr>
              <w:t>⚡ MY 5 STRATEGIC DETERMINATIONS ｜ 我的五大戰略判定</w:t>
              <w:br/>
            </w:r>
            <w:r>
              <w:rPr>
                <w:rFonts w:ascii="Arial" w:hAnsi="Arial"/>
                <w:color w:val="232629"/>
                <w:sz w:val="19"/>
              </w:rPr>
              <w:t>1. 我確認核心專利與生產受控：我透過加密架構與情報比對，確認藥華藥核心專利（Besremi® CMC 製造參數、分子專利）底層結構化加密無損，台中蛋白質新藥廠 GMP 產線實體隔離正常，無實質營運中斷。</w:t>
              <w:br/>
              <w:t>2. 我判定威脅本質為聲譽施壓：依我的暗網追蹤，TheGentlemen 勒索組織於洩密站展示之零星行政檔案，屬典型「點名勒索（Name-and-Shame）」，未見核心研發資料包外流。</w:t>
              <w:br/>
              <w:t>3. 我主張應變採雙軌平行架構：我建議緊急事件鑑識委由第三方專業 DFIR 團隊專案處理以確保法律特權；我則恪遵董事會正式程序參與 CISO 遴選，確保內控獨立性。</w:t>
              <w:br/>
              <w:t>4. 我堅持 GxP 確效為復原唯一門檻：我要求系統復線嚴格遵循 ALCOA+ 與 CSV 變更控制，由 QA、CSV、System Owner 與我共同簽核，杜絕帶毒復線。</w:t>
              <w:br/>
              <w:t>5. 我規劃 180 天自適應防禦藍圖：我將以 NIST CSF 2.0 為主幹，為藥華藥建立特權身分 FIDO2 抗釣魚、不可變備份、DMARC 防偽冒及董事會雙軌 KRI/KPI 監控。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二、 威脅解構：我對 TheGentlemen 勒索事件的客觀鑑識分析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我透過多方國際威脅情報庫（Breach House、Darkfield、BreachSense）進行深度交叉比對，我對事件本質與資產邊界的鑑識結果如下：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鑑識與情報維度</w:t>
            </w:r>
          </w:p>
        </w:tc>
        <w:tc>
          <w:tcPr>
            <w:tcW w:type="dxa" w:w="374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我觀察到的客觀事實與特徵</w:t>
            </w:r>
          </w:p>
        </w:tc>
        <w:tc>
          <w:tcPr>
            <w:tcW w:type="dxa" w:w="302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我的治理與營運衝擊判定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暗網洩密點名</w:t>
              <w:br/>
              <w:t>(DLS Analysis)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我追蹤到 TheGentlemen 於 8/9–8/10 點名 PharmaEssentia，展示 finance_2024.xlsx、合約及護照縮圖。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我判定展示資料侷限於子公司一般行政與公務通訊錄，未見核心研發 CMC 數據或大量未去識別化臨床受試者資料。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攻擊鏈與技術路徑</w:t>
              <w:br/>
              <w:t>(MITRE TTPs)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我分析攻擊者利用歷史外洩帳密/邊界 VPN 弱點突破泛泰醫療邊界，橫向探索並寄發 200h 倒數信件。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我指出這凸顯了跨國子公司 IT 邊界微隔離不足、非抗釣魚 MFA 弱點及 DMARC 尚未強制 reject 之缺口。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生產與商業營運</w:t>
              <w:br/>
              <w:t>(Operational Blast)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我核實台中蛋白質製造廠 SCADA/PLC 實體隔離，臨床試驗 EDC 與 LIMS 獨立運作。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我確認藥品製造無菌環境正常，批次紀錄（eBR）完整，對全球供藥、商業營收及財務無重大實質影響。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三、 治理定錨：我為何主張「技術專案委外，CISO 正式遴選」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針對人資端提議「邀請我先以 3 個月顧問進場救火」之構想，我從上市公司內部控制常規與法律責任邊界出發，向公司提出以下專業建言：</w:t>
      </w:r>
    </w:p>
    <w:p>
      <w:pPr>
        <w:spacing w:after="100" w:line="300" w:lineRule="auto"/>
      </w:pPr>
      <w:r>
        <w:rPr>
          <w:rFonts w:ascii="Arial" w:hAnsi="Arial"/>
          <w:b/>
          <w:color w:val="1F2022"/>
          <w:sz w:val="19"/>
        </w:rPr>
        <w:t>1. 我認為滅火需要專案工程部隊：</w:t>
      </w:r>
      <w:r>
        <w:rPr>
          <w:rFonts w:ascii="Arial" w:hAnsi="Arial"/>
          <w:color w:val="232629"/>
          <w:sz w:val="19"/>
        </w:rPr>
        <w:t>現場取證、RAM Dump 採集、PCAP 回溯需要 24x7 專業團隊與工具鏈，非單兵顧問能獨立負擔；且由外部法務正式委任之 DFIR 方享有律師保密特權（Attorney-Client Privilege）與法定證據鏈。</w:t>
      </w:r>
    </w:p>
    <w:p>
      <w:pPr>
        <w:spacing w:after="100" w:line="300" w:lineRule="auto"/>
      </w:pPr>
      <w:r>
        <w:rPr>
          <w:rFonts w:ascii="Arial" w:hAnsi="Arial"/>
          <w:b/>
          <w:color w:val="1F2022"/>
          <w:sz w:val="19"/>
        </w:rPr>
        <w:t>2. 我堅持內控治理必須杜絕利益衝突：</w:t>
      </w:r>
      <w:r>
        <w:rPr>
          <w:rFonts w:ascii="Arial" w:hAnsi="Arial"/>
          <w:color w:val="232629"/>
          <w:sz w:val="19"/>
        </w:rPr>
        <w:t>CISO 候選人若以顧問進場，在責任判定、團隊檢核與廠商採購上易產生『球員兼裁判』爭議；且缺乏經理人法定授權，承擔不對等職務風險。</w:t>
      </w:r>
    </w:p>
    <w:p>
      <w:pPr>
        <w:spacing w:after="100" w:line="300" w:lineRule="auto"/>
      </w:pPr>
      <w:r>
        <w:rPr>
          <w:rFonts w:ascii="Arial" w:hAnsi="Arial"/>
          <w:b/>
          <w:color w:val="1F2022"/>
          <w:sz w:val="19"/>
        </w:rPr>
        <w:t>3. 我主張之最佳治理實踐：</w:t>
      </w:r>
      <w:r>
        <w:rPr>
          <w:rFonts w:ascii="Arial" w:hAnsi="Arial"/>
          <w:color w:val="232629"/>
          <w:sz w:val="19"/>
        </w:rPr>
        <w:t>由第三方專業鑑識公司專案滅火，我以獨立候選人身分參與董事會正式 CISO 遴選，對藥華藥、審計委員會及我而言都是最合規、最安全的解法。</w:t>
      </w: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四、 戰時準則：我所堅持的 GxP 確效放行五道門檻 (Quality Gates)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我主張重大資安事件應變絕不能一刀切，我為藥華藥建立了五大安全復原放行門檻（Quality Gates）：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復原放行門檻 (Quality Gates)</w:t>
            </w:r>
          </w:p>
        </w:tc>
        <w:tc>
          <w:tcPr>
            <w:tcW w:type="dxa" w:w="388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我設定之核心驗證標準與控制規範</w:t>
            </w:r>
          </w:p>
        </w:tc>
        <w:tc>
          <w:tcPr>
            <w:tcW w:type="dxa" w:w="2736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聯合簽核責任人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Gate 1: 邊界漏洞修補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我要求初始入侵管道（VPN/NAT/弱密碼）必須完成 Patch 並經驗證。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網路主管 / 資安主管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Gate 2: 端點威脅清零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我要求可部署端點 EDR 覆蓋率達 99.5%，全域監控 24h 無活躍 IOC。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資安主管 (SOC Lead)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Gate 3: 特權身分重塑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我要求 Domain Admins 與服務帳號重設，krbtgt 依 Runbook 雙重輪替。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MIS 主管 / IAM Lead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Gate 4: 備份乾淨還原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我要求還原來源必須確認為經 DFIR 掃描無毒之不可變備份或 Golden Image。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硬體主管 / DFIR 顧問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Gate 5: GxP 與業務簽核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我要求 LIMS/MES Audit Trail 審查無異常，完成 CSV 變更控制簽署。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QA 主管 / CSV 專員 / CISO (我)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五、 各職能作戰 SOP 暨 WBS 我所設定之執行規範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我為藥華藥制訂了七大職能單位之標準作業程序（SOP-NET-01 至 SOP-MFG-07），並透過 WBS 14 個標準工作包嚴格控管時效：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職能代碼</w:t>
            </w:r>
          </w:p>
        </w:tc>
        <w:tc>
          <w:tcPr>
            <w:tcW w:type="dxa" w:w="2592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作業程序名稱</w:t>
            </w:r>
          </w:p>
        </w:tc>
        <w:tc>
          <w:tcPr>
            <w:tcW w:type="dxa" w:w="374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我設定之核心管制動作</w:t>
            </w:r>
          </w:p>
        </w:tc>
        <w:tc>
          <w:tcPr>
            <w:tcW w:type="dxa" w:w="1152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時效 SLA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SOP-NET-01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邊界阻斷與專線隔離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清查暴露面、切斷泛泰醫療 VPN 專線、封鎖惡意 C2 IP 及出境流量。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T+1h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SOP-INF-02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備份受控斷網與 Clean Room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備份管理平面物理斷網、受害 VM vNIC 斷線拍快照、搭建 Clean Room。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T+2h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SOP-SEC-03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端點取證與 IOC 獵捕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EDR 隔離、RAM Dump 與 MFT 取證採集、派發全域 IOC、仿冒網域 Takedown。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T+8h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SOP-QA-05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GxP 完整性審查與復線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LIMS/MES Audit Trail 審核、Deviation 偏差結案、Change Control 復線核簽。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T+72h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六、 轉型藍圖：我的 180 天自適應防禦與雙軌 KRI/KPI 監控計畫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我若就任，將依循 NIST CSF 2.0 六大功能推進，為董事會建立可衡量之風險指標（KRI）與營運成果（KPI）：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治理構面</w:t>
            </w:r>
          </w:p>
        </w:tc>
        <w:tc>
          <w:tcPr>
            <w:tcW w:type="dxa" w:w="2592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我向董事會提報之風險指標 (KRI)</w:t>
            </w:r>
          </w:p>
        </w:tc>
        <w:tc>
          <w:tcPr>
            <w:tcW w:type="dxa" w:w="244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我要求之營運成果指標 (KPI)</w:t>
            </w:r>
          </w:p>
        </w:tc>
        <w:tc>
          <w:tcPr>
            <w:tcW w:type="dxa" w:w="230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我設定之門檻與管理動作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身分安全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未完成 MFA 的特權帳號數、閒置高權限帳號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FIDO2 覆蓋率、PIM/JIT 使用率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我要求特權身分 100% 採抗釣魚 MFA，例外 30 日內關閉。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韌性復原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未通過還原測試的 Tier-0 系統數、備份例外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還原成功率、RTO/RPO 達成率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我要求 Tier-0 每季演練，失敗項目 30 日內完成整改。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漏洞曝險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可從網際網路利用之 Critical 漏洞數及曝險天數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重大弱點修補 SLA、攻擊面縮減率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我要求 Internet-facing 漏洞 24-72h 內完成修補或補償控制。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第三方風險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未符事件通報 SLA 與備份條款之關鍵供應商家數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高風險供應商年度複評率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7"/>
              </w:rPr>
              <w:t>我要求 Tier-1 關鍵供應商 100% 進行年審與合約補強。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" w:hAnsi="Arial"/>
          <w:b/>
          <w:color w:val="FF6B35"/>
          <w:sz w:val="26"/>
        </w:rPr>
        <w:t xml:space="preserve">▍ </w:t>
      </w:r>
      <w:r>
        <w:rPr>
          <w:rFonts w:ascii="Arial" w:hAnsi="Arial"/>
          <w:b/>
          <w:color w:val="1F2022"/>
          <w:sz w:val="27"/>
        </w:rPr>
        <w:t>七、 決策呈核：我提請董事會與人資團隊核定之事項 (Decisions &amp; Sign-off)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5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FF6B35"/>
                <w:sz w:val="20"/>
              </w:rPr>
              <w:t>⚡ DECISIONS REQUIRED ｜ 我提請董事會與管理團隊核定事項</w:t>
              <w:br/>
            </w:r>
            <w:r>
              <w:rPr>
                <w:rFonts w:ascii="Arial" w:hAnsi="Arial"/>
                <w:color w:val="232629"/>
                <w:sz w:val="19"/>
              </w:rPr>
              <w:t>1. 核定事件應變委外專案：授權法務室正式委任第三方頂尖 DFIR 鑑識團隊進駐，保全法律特權與證據鏈。</w:t>
              <w:br/>
              <w:t>2. 確立 CISO 正式遴選時程：由人資長與審計委員會啟動集團資安長正式遴選程序，安排我與總經理及董事會深入交流。</w:t>
              <w:br/>
              <w:t>3. 核定 180 天轉型預算與風險胃納：支持我建立以病患安全、GxP 完整性與研發專利保護為核心之資安投資模型。</w:t>
            </w:r>
          </w:p>
        </w:tc>
      </w:tr>
    </w:tbl>
    <w:p>
      <w:pPr>
        <w:spacing w:after="80"/>
      </w:pPr>
    </w:p>
    <w:p>
      <w:pPr>
        <w:spacing w:after="100" w:line="300" w:lineRule="auto"/>
      </w:pPr>
      <w:r>
        <w:rPr>
          <w:rFonts w:ascii="Arial" w:hAnsi="Arial"/>
          <w:b/>
          <w:color w:val="1F2022"/>
          <w:sz w:val="19"/>
        </w:rPr>
        <w:t>我的法律與合規聲明：</w:t>
      </w:r>
      <w:r>
        <w:rPr>
          <w:rFonts w:ascii="Arial" w:hAnsi="Arial"/>
          <w:color w:val="232629"/>
          <w:sz w:val="19"/>
        </w:rPr>
        <w:t>本報告是我基於公開資訊、外部威脅情報（OSINT/CTI）及生醫合規常規獨立產出，實際鑑識數據以法務委任之第三方 DFIR 正式報告為準。我旨在為董事會與經營團隊提供最高標準之治理架構參考。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提案主筆 (我 / CISO Candidate)</w:t>
            </w:r>
          </w:p>
        </w:tc>
        <w:tc>
          <w:tcPr>
            <w:tcW w:type="dxa" w:w="302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審閱 (CHRO / CEO)</w:t>
            </w:r>
          </w:p>
        </w:tc>
        <w:tc>
          <w:tcPr>
            <w:tcW w:type="dxa" w:w="302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核定 (Board of Directors)</w:t>
            </w:r>
          </w:p>
        </w:tc>
      </w:tr>
      <w:tr>
        <w:tc>
          <w:tcPr>
            <w:tcW w:type="dxa" w:w="2880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藥華醫藥 人資長 / 總經理</w:t>
              <w:br/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9196"/>
        <w:sz w:val="16"/>
      </w:rPr>
      <w:t>― Executive Strategic Governance ｜ NIST CSF 2.0 &amp; GxP Compliance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9196"/>
        <w:sz w:val="16"/>
      </w:rPr>
      <w:t>PHARMAESSENTIA ｜ CYBER RESILIENCE STRATEGIC DOSSIER ｜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