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b/>
          <w:color w:val="0F172A"/>
          <w:sz w:val="40"/>
        </w:rPr>
        <w:t>藥華醫藥集團（6446）重大資安事件各單位執行程序書 (SOP)</w:t>
        <w:br/>
        <w:t>暨 戰時工作分解結構（WBS）與執行時程規劃書</w:t>
      </w:r>
    </w:p>
    <w:p>
      <w:pPr>
        <w:spacing w:after="160"/>
        <w:jc w:val="center"/>
      </w:pPr>
      <w:r>
        <w:rPr>
          <w:b/>
          <w:color w:val="0284C7"/>
          <w:sz w:val="23"/>
        </w:rPr>
        <w:t>Standard Operating Procedures by Functional Unit &amp; WBS Execution Framework</w:t>
      </w:r>
    </w:p>
    <w:p>
      <w:pPr>
        <w:spacing w:after="240"/>
        <w:jc w:val="center"/>
      </w:pPr>
      <w:r>
        <w:rPr>
          <w:color w:val="334155"/>
          <w:sz w:val="18"/>
        </w:rPr>
        <w:t>文件編號：PE-CSIRT-WBS-2026-08 ｜ 機密等級：極機密 (TLP:AMBER)</w:t>
        <w:br/>
        <w:t>報告主筆：廖倫豪 博士 (Howard Liao, Ph.D.) ｜ Group CISO 候選人</w:t>
        <w:br/>
        <w:t>呈報對象：董事會 ｜ 審計委員會 ｜ 總經理 ｜ 專案應變委員會</w:t>
      </w:r>
    </w:p>
    <w:p>
      <w:pPr>
        <w:spacing w:after="280"/>
        <w:jc w:val="center"/>
      </w:pPr>
      <w:r>
        <w:rPr>
          <w:color w:val="0284C7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b/>
          <w:color w:val="0F172A"/>
          <w:sz w:val="27"/>
        </w:rPr>
        <w:t>一、 總綱與架構說明 (Overview &amp; Operational Principles)</w:t>
      </w:r>
    </w:p>
    <w:p>
      <w:pPr>
        <w:spacing w:after="80" w:line="276" w:lineRule="auto"/>
      </w:pPr>
      <w:r>
        <w:rPr>
          <w:color w:val="334155"/>
          <w:sz w:val="19"/>
        </w:rPr>
        <w:t>本程序書旨在落實《藥華醫藥資安小組成員編組與全域盤點程序報告書》，將戰時應變方針轉化為各跨職能單位（網路、基礎架構、資安運維、企業應用、品質確效、法務隱私、廠區生產）具體可執行的標準作業程序（SOP），並透過結構化之工作分解結構（Work Breakdown Structure, WBS）建立明確的時間軸（SLA）、交付物與檢核節點。</w:t>
      </w:r>
    </w:p>
    <w:p>
      <w:pPr>
        <w:keepNext/>
        <w:spacing w:before="320" w:after="120"/>
      </w:pPr>
      <w:r>
        <w:rPr>
          <w:b/>
          <w:color w:val="0F172A"/>
          <w:sz w:val="27"/>
        </w:rPr>
        <w:t>二、 各職能單位標準作業程序書 (Functional Unit SOPs)</w:t>
      </w:r>
    </w:p>
    <w:p>
      <w:pPr>
        <w:keepNext/>
        <w:spacing w:before="220" w:after="80"/>
      </w:pPr>
      <w:r>
        <w:rPr>
          <w:b/>
          <w:color w:val="0284C7"/>
          <w:sz w:val="22"/>
        </w:rPr>
        <w:t>1. 網路通訊組執行程序書 (SOP-NET-01：邊界阻斷與專線隔離)</w:t>
      </w:r>
    </w:p>
    <w:p>
      <w:pPr>
        <w:spacing w:after="80" w:line="276" w:lineRule="auto"/>
      </w:pPr>
      <w:r>
        <w:rPr>
          <w:color w:val="334155"/>
          <w:sz w:val="19"/>
        </w:rPr>
        <w:t>• 目的：阻斷惡意 C2 連線、切斷受害子公司/網段之橫向擴散通道，保全網路封包證據。</w:t>
        <w:br/>
        <w:t>• 適用對象：IT 網路維運工程師、邊界防火牆管理員。</w:t>
        <w:br/>
        <w:t>• 標準作業步驟：</w:t>
        <w:br/>
        <w:t xml:space="preserve">  Step 1 (暴露面清查)：使用 EASM 與 Firewall Session Table，在 15 分鐘內導出全集團公網 IP 與對外 NAT 規則。</w:t>
        <w:br/>
        <w:t xml:space="preserve">  Step 2 (子公司隔離)：登入核心邊界防火牆，立即停用『泛泰醫療（Pan-Tai Medical）』及海外可疑站點之 Site-to-Site IPsec VPN 隧道與專線路由。</w:t>
        <w:br/>
        <w:t xml:space="preserve">  Step 3 (內部橫向限制)：在核心交換器與 SDN 控制器下發 ACL，阻斷辦公網段跨 VLAN 之高危通訊埠（TCP 445 SMB, TCP 135 RPC, TCP 3389 RDP）。</w:t>
        <w:br/>
        <w:t xml:space="preserve">  Step 4 (出口外傳封鎖)：於 Proxy 與邊界防火牆封鎖 TOR Exit Nodes、MEGA、rclone 節點及非企業授權之雲端儲存 IP；啟用 DNS RPZ 阻斷 C2 動態域名。</w:t>
        <w:br/>
        <w:t xml:space="preserve">  Step 5 (日誌保全)：將 Firewall Traffic Log、VPN Auth Log、DNS Log 導向隔離之 WORM Syslog 伺服器，保留期設為永久保存。</w:t>
      </w:r>
    </w:p>
    <w:p>
      <w:pPr>
        <w:keepNext/>
        <w:spacing w:before="220" w:after="80"/>
      </w:pPr>
      <w:r>
        <w:rPr>
          <w:b/>
          <w:color w:val="0284C7"/>
          <w:sz w:val="22"/>
        </w:rPr>
        <w:t>2. 基礎架構組執行程序書 (SOP-INF-02：備份保護與乾淨還原實驗室搭建)</w:t>
      </w:r>
    </w:p>
    <w:p>
      <w:pPr>
        <w:spacing w:after="80" w:line="276" w:lineRule="auto"/>
      </w:pPr>
      <w:r>
        <w:rPr>
          <w:color w:val="334155"/>
          <w:sz w:val="19"/>
        </w:rPr>
        <w:t>• 目的：確保備份管理平面與 Production 網段斷開，保全受害虛擬機狀態，搭建隔離 Clean Room。</w:t>
        <w:br/>
        <w:t>• 適用對象：IT 系統工程師、虛擬化與儲存管理員。</w:t>
        <w:br/>
        <w:t>• 標準作業步驟：</w:t>
        <w:br/>
        <w:t xml:space="preserve">  Step 1 (備份物理斷網)：立即拔除備份主機（Veeam/Commvault）對外網路線，切斷與 Production AD 之管理連線。</w:t>
        <w:br/>
        <w:t xml:space="preserve">  Step 2 (不可變備份驗證)：透過獨立 OOB 管理通道登入 AWS S3 / 儲存陣列，確認 S3 Object Lock (Compliance Mode) 與 WORM 鎖定狀態正常。</w:t>
        <w:br/>
        <w:t xml:space="preserve">  Step 3 (虛擬機受控隔離)：針對受害 VM，於 vCenter 執行『Disconnect vNIC』；嚴禁強制關機，立即執行『拍攝含記憶體狀態快照（Snapshot with Memory）』。</w:t>
        <w:br/>
        <w:t xml:space="preserve">  Step 4 (搭建 Clean Room)：調撥完全獨立的實體主機與隔離 Switch（非路由網段），配置乾淨 OS 映像檔，供 DFIR 與還原驗證使用。</w:t>
      </w:r>
    </w:p>
    <w:p>
      <w:pPr>
        <w:keepNext/>
        <w:spacing w:before="220" w:after="80"/>
      </w:pPr>
      <w:r>
        <w:rPr>
          <w:b/>
          <w:color w:val="0284C7"/>
          <w:sz w:val="22"/>
        </w:rPr>
        <w:t>3. 資安運維組執行程序書 (SOP-SEC-03：端點鑑識採集、威脅獵捕與品牌下架)</w:t>
      </w:r>
    </w:p>
    <w:p>
      <w:pPr>
        <w:spacing w:after="80" w:line="276" w:lineRule="auto"/>
      </w:pPr>
      <w:r>
        <w:rPr>
          <w:color w:val="334155"/>
          <w:sz w:val="19"/>
        </w:rPr>
        <w:t>• 目的：採集揮發性數位證據鏈，派發 IOC 獵捕，執行反釣魚與仿冒網域下架。</w:t>
        <w:br/>
        <w:t>• 適用對象：SOC 分析師、DFIR 鑑識工程師。</w:t>
        <w:br/>
        <w:t>• 標準作業步驟：</w:t>
        <w:br/>
        <w:t xml:space="preserve">  Step 1 (EDR 隔離)：透過 CrowdStrike / Defender 主控台下發『Host Network Containment』，維持與 EDR 伺服器單向通訊。</w:t>
        <w:br/>
        <w:t xml:space="preserve">  Step 2 (記憶體與取證採集)：在 DFIR 指導下使用 WinPmem / LiME 採集受害端點 RAM Dump，導出 $MFT 檔案紀錄，計算 SHA-256 Hash 建立 Chain of Custody。</w:t>
        <w:br/>
        <w:t xml:space="preserve">  Step 3 (全域 IOC 獵捕)：將 TheGentlemen 組織之 Hash、C2 IP、登錄檔特徵轉換為 YARA / Sigma / KQL 規則，於 SIEM 執行近 30 天日誌回溯搜尋。</w:t>
        <w:br/>
        <w:t xml:space="preserve">  Step 4 (品牌防冒 Takedown)：監控 pharmaessentiacorp.com 等仿冒網域，收集 DNS Whois 與郵件 Header，通報 Registrar 與 TWCERT/CC 執行緊急下架。</w:t>
      </w:r>
    </w:p>
    <w:p>
      <w:pPr>
        <w:keepNext/>
        <w:spacing w:before="220" w:after="80"/>
      </w:pPr>
      <w:r>
        <w:rPr>
          <w:b/>
          <w:color w:val="0284C7"/>
          <w:sz w:val="22"/>
        </w:rPr>
        <w:t>4. 企業應用組執行程序書 (SOP-APP-04：特權身分殲滅、目錄修復與 BCP 切換)</w:t>
      </w:r>
    </w:p>
    <w:p>
      <w:pPr>
        <w:spacing w:after="80" w:line="276" w:lineRule="auto"/>
      </w:pPr>
      <w:r>
        <w:rPr>
          <w:color w:val="334155"/>
          <w:sz w:val="19"/>
        </w:rPr>
        <w:t>• 目的：全面重設遭竊憑證，修復 AD 信任，凍結備份覆寫，引導業務切換手工作業。</w:t>
        <w:br/>
        <w:t>• 適用對象：AD 管理員、ERP/MIS 系統工程師。</w:t>
        <w:br/>
        <w:t>• 標準作業步驟：</w:t>
        <w:br/>
        <w:t xml:space="preserve">  Step 1 (特權身分凍結)：立即停用閒置帳號、離職人員帳號及委外廠商（Vendor）遠端存取帳號。</w:t>
        <w:br/>
        <w:t xml:space="preserve">  Step 2 (憑證強制輪替)：強制重設所有 Domain Admins / Global Admins 密碼；撤銷全域 SSO / SAML Refresh Tokens。</w:t>
        <w:br/>
        <w:t xml:space="preserve">  Step 3 (krbtgt 雙重輪替)：當確認 AD 遭滲透時，依 Forest Recovery Runbook 執行兩次 krbtgt 密碼重設（間隔 24 小時）。</w:t>
        <w:br/>
        <w:t xml:space="preserve">  Step 4 (暫停備份覆寫)：暫停所有自動備份作業之 Retention 覆寫排程，防止中毒損毀之檔案覆蓋歷史健康備份。</w:t>
        <w:br/>
        <w:t xml:space="preserve">  Step 5 (BCP 手工流程)：通知臨床與營運單位，核心系統切換唯讀模式，啟用紙本表單與離線 BCP 作業手冊。</w:t>
      </w:r>
    </w:p>
    <w:p>
      <w:pPr>
        <w:keepNext/>
        <w:spacing w:before="220" w:after="80"/>
      </w:pPr>
      <w:r>
        <w:rPr>
          <w:b/>
          <w:color w:val="0284C7"/>
          <w:sz w:val="22"/>
        </w:rPr>
        <w:t>5. 品質確效組執行程序書 (SOP-QA-05：GxP 資料完整性審查與系統復線簽核)</w:t>
      </w:r>
    </w:p>
    <w:p>
      <w:pPr>
        <w:spacing w:after="80" w:line="276" w:lineRule="auto"/>
      </w:pPr>
      <w:r>
        <w:rPr>
          <w:color w:val="334155"/>
          <w:sz w:val="19"/>
        </w:rPr>
        <w:t>• 目的：確保 LIMS、MES、臨床數據符合 ALCOA+ 原則與 FDA 21 CFR Part 11，嚴格把關復線品質。</w:t>
        <w:br/>
        <w:t>• 適用對象：QA 品質保證專員、電腦化系統確效（CSV）工程師。</w:t>
        <w:br/>
        <w:t>• 標準作業步驟：</w:t>
        <w:br/>
        <w:t xml:space="preserve">  Step 1 (Audit Trail 審查)：導出 LIMS、CDS 層析系統近 30 天 Audit Trail，比對有無未授權刪除、修改或時間戳異常。</w:t>
        <w:br/>
        <w:t xml:space="preserve">  Step 2 (資料庫一致性校驗)：核對還原資料庫與離線檢驗原始紀錄之 Hash 值，確認試驗數據與檢驗結果完全相符。</w:t>
        <w:br/>
        <w:t xml:space="preserve">  Step 3 (偏差與變更控制)：填寫資安事件品質偏差單（Deviation Report），發起系統變更控制（Change Control）。</w:t>
        <w:br/>
        <w:t xml:space="preserve">  Step 4 (復線聯合簽核)：確認系統符合五大 Quality Gates 後，由 QA 主管、CSV 專員與 CISO 共同簽署復線核准書。</w:t>
      </w:r>
    </w:p>
    <w:p>
      <w:pPr>
        <w:keepNext/>
        <w:spacing w:before="220" w:after="80"/>
      </w:pPr>
      <w:r>
        <w:rPr>
          <w:b/>
          <w:color w:val="0284C7"/>
          <w:sz w:val="22"/>
        </w:rPr>
        <w:t>6. 隱私法務組執行程序書 (SOP-LEG-06：法律特權保全、個資盤點與重大訊息發布)</w:t>
      </w:r>
    </w:p>
    <w:p>
      <w:pPr>
        <w:spacing w:after="80" w:line="276" w:lineRule="auto"/>
      </w:pPr>
      <w:r>
        <w:rPr>
          <w:color w:val="334155"/>
          <w:sz w:val="19"/>
        </w:rPr>
        <w:t>• 目的：建立法律保密特權，精準盤點外洩資料主體，依法完成上市櫃重訊與監管通報。</w:t>
        <w:br/>
        <w:t>• 適用對象：法務長 (GC)、資料保護官 (DPO)、發言人室。</w:t>
        <w:br/>
        <w:t>• 標準作業步驟：</w:t>
        <w:br/>
        <w:t xml:space="preserve">  Step 1 (委任 DFIR 建立特權)：由法務長正式簽署外部 DFIR 委任合約，確保所有調查報告享有 Attorney-Client Privilege。</w:t>
        <w:br/>
        <w:t xml:space="preserve">  Step 2 (個資外洩主體清查)：DPO 建立受害名冊（員工/受試者），評估外洩欄位是否觸發 GDPR/HIPAA/個資法法定通報門檻。</w:t>
        <w:br/>
        <w:t xml:space="preserve">  Step 3 (重大訊息 MOPS 發布)：依證交所重大性準則擬定重訊稿，堅持『已鑑識客觀事實』，陳述核心機密加密未外洩。</w:t>
        <w:br/>
        <w:t xml:space="preserve">  Step 4 (主管機關申報)：於法定期限內向 數位發展部資安署、法務部調查局、金管會證期局 提報正式資安事件通報書。</w:t>
      </w:r>
    </w:p>
    <w:p>
      <w:pPr>
        <w:keepNext/>
        <w:spacing w:before="220" w:after="80"/>
      </w:pPr>
      <w:r>
        <w:rPr>
          <w:b/>
          <w:color w:val="0284C7"/>
          <w:sz w:val="22"/>
        </w:rPr>
        <w:t>7. 廠區生產組執行程序書 (SOP-MFG-07：台中蛋白質製造廠 GMP 產線安全防護)</w:t>
      </w:r>
    </w:p>
    <w:p>
      <w:pPr>
        <w:spacing w:after="80" w:line="276" w:lineRule="auto"/>
      </w:pPr>
      <w:r>
        <w:rPr>
          <w:color w:val="334155"/>
          <w:sz w:val="19"/>
        </w:rPr>
        <w:t>• 目的：確保台中廠 SCADA/PLC 製造網路不受波及，維持無菌生產環境與藥品製造連續性。</w:t>
        <w:br/>
        <w:t>• 適用對象：台中廠長、自動化控制工程師、EHS 主管。</w:t>
        <w:br/>
        <w:t>• 標準作業步驟：</w:t>
        <w:br/>
        <w:t xml:space="preserve">  Step 1 (OT 網路實體檢查)：現場確認 SCADA 監控伺服器、PLC 控制器與企業辦公網段之防火牆實體隔離狀態。</w:t>
        <w:br/>
        <w:t xml:space="preserve">  Step 2 (環境監控 BMS 檢核)：檢驗無菌室壓差、溫濕度、生物反應器環境監控參數，確認運作正常且無警報異常。</w:t>
        <w:br/>
        <w:t xml:space="preserve">  Step 3 (批次製造紀錄 eBR 核對)：比對生產線紙本/電子批次製造紀錄，確認當前生產批次未受任何外部指令干擾。</w:t>
      </w:r>
    </w:p>
    <w:p>
      <w:pPr>
        <w:spacing w:after="120"/>
      </w:pPr>
    </w:p>
    <w:p>
      <w:pPr>
        <w:keepNext/>
        <w:spacing w:before="320" w:after="120"/>
      </w:pPr>
      <w:r>
        <w:rPr>
          <w:b/>
          <w:color w:val="0F172A"/>
          <w:sz w:val="27"/>
        </w:rPr>
        <w:t>三、 戰時工作分解結構 (Work Breakdown Structure, WBS)</w:t>
      </w:r>
    </w:p>
    <w:p>
      <w:pPr>
        <w:spacing w:after="80" w:line="276" w:lineRule="auto"/>
      </w:pPr>
      <w:r>
        <w:rPr>
          <w:color w:val="334155"/>
          <w:sz w:val="19"/>
        </w:rPr>
        <w:t>將應變與盤點工作拆解為四大主階段、14 個工作包（Work Packages），明確定義交付物、責任人與時效：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WBS 代碼</w:t>
            </w:r>
          </w:p>
        </w:tc>
        <w:tc>
          <w:tcPr>
            <w:tcW w:type="dxa" w:w="259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工作包名稱 (Work Package)</w:t>
            </w:r>
          </w:p>
        </w:tc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關鍵交付成果 (Deliverables)</w:t>
            </w:r>
          </w:p>
        </w:tc>
        <w:tc>
          <w:tcPr>
            <w:tcW w:type="dxa" w:w="129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主責角色</w:t>
            </w:r>
          </w:p>
        </w:tc>
        <w:tc>
          <w:tcPr>
            <w:tcW w:type="dxa" w:w="100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時效 SLA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1.1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SEV-1 宣告與 War Room 成立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War Room 簽到簿、頻外通訊群組建立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CISO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T+15m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color w:val="334155"/>
                <w:sz w:val="17"/>
              </w:rPr>
              <w:t>1.2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第一波緊急網路物理隔離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《跨據點/受害網段隔離執行紀錄》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網路組長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color w:val="334155"/>
                <w:sz w:val="17"/>
              </w:rPr>
              <w:t>T+1h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1.3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備份管理平面受控斷網 (Air-gap)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《不可變備份庫安全查核表》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基礎架構組長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T+2h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color w:val="334155"/>
                <w:sz w:val="17"/>
              </w:rPr>
              <w:t>1.4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外部 DFIR 與資安律師進駐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委任合約簽署、證據保全協議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法務長/CISO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color w:val="334155"/>
                <w:sz w:val="17"/>
              </w:rPr>
              <w:t>T+4h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2.1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受害端點揮發性記憶體取證採集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RAM Dump 映像檔、Chain of Custody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DFIR/資安組長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T+8h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color w:val="334155"/>
                <w:sz w:val="17"/>
              </w:rPr>
              <w:t>2.2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全域特權身分重設與 Session 註銷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《特權憑證輪替完成確認單》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應用組長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color w:val="334155"/>
                <w:sz w:val="17"/>
              </w:rPr>
              <w:t>T+12h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2.3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暗網洩漏樣本比對與外洩評估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《外洩資料敏感度比對報告》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DFIR/DPO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T+18h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color w:val="334155"/>
                <w:sz w:val="17"/>
              </w:rPr>
              <w:t>2.4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全域 IOC 威脅獵捕與擴散清查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《全域威脅獵捕清查紀錄》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資安組長 (SOC)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color w:val="334155"/>
                <w:sz w:val="17"/>
              </w:rPr>
              <w:t>T+24h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3.1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Clean Room 隔離實驗室搭建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乾淨測試環境、隔離交換器配置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基礎架構組長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T+30h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color w:val="334155"/>
                <w:sz w:val="17"/>
              </w:rPr>
              <w:t>3.2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GxP 系統 Audit Trail 完整性審查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《ALCOA+ 資料完整性審查報告》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QA/CSV 專員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color w:val="334155"/>
                <w:sz w:val="17"/>
              </w:rPr>
              <w:t>T+36h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3.3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關鍵 ERP / 研發資料庫乾淨還原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還原日誌、資料庫一致性校驗單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基礎架構/MIS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T+48h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color w:val="334155"/>
                <w:sz w:val="17"/>
              </w:rPr>
              <w:t>3.4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五大 Quality Gates 審核與復線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《系統復線聯合簽核核准書》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CISO/QA/業務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color w:val="334155"/>
                <w:sz w:val="17"/>
              </w:rPr>
              <w:t>T+72h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4.1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根因分析報告 (RCA) 產出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《事件根本原因調查報告書 (RCA)》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17"/>
              </w:rPr>
              <w:t>CISO/DFIR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T+7d</w:t>
            </w:r>
          </w:p>
        </w:tc>
      </w:tr>
      <w:tr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color w:val="334155"/>
                <w:sz w:val="17"/>
              </w:rPr>
              <w:t>4.2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品質偏差結案與 CAPA 擬定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CAPA 改善追蹤表、QA 結案簽核</w:t>
            </w:r>
          </w:p>
        </w:tc>
        <w:tc>
          <w:tcPr>
            <w:tcW w:type="dxa" w:w="1296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334155"/>
                <w:sz w:val="17"/>
              </w:rPr>
              <w:t>QA 主管/CISO</w:t>
            </w:r>
          </w:p>
        </w:tc>
        <w:tc>
          <w:tcPr>
            <w:tcW w:type="dxa" w:w="1008"/>
            <w:tcMar>
              <w:top w:w="140" w:type="dxa"/>
              <w:bottom w:w="14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color w:val="334155"/>
                <w:sz w:val="17"/>
              </w:rPr>
              <w:t>T+14d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0F172A"/>
          <w:sz w:val="27"/>
        </w:rPr>
        <w:t>四、 董事會簽核與授權發布 (Executive Sign-off)</w:t>
      </w:r>
    </w:p>
    <w:p>
      <w:pPr>
        <w:spacing w:after="80" w:line="276" w:lineRule="auto"/>
      </w:pPr>
      <w:r>
        <w:rPr>
          <w:color w:val="334155"/>
          <w:sz w:val="19"/>
        </w:rPr>
        <w:t>本《各單位執行程序書 (SOP) 暨 戰時工作分解結構 (WBS)》作為藥華醫藥集團重大資安應變之標準技術規範，經審計委員會審查並提報董事會核定後正式施行。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提案主筆 (Group CISO Candidate)</w:t>
            </w:r>
          </w:p>
        </w:tc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審查 (Audit Committee / CEO)</w:t>
            </w:r>
          </w:p>
        </w:tc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核定 (Board of Directors)</w:t>
            </w:r>
          </w:p>
        </w:tc>
      </w:tr>
      <w:tr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8"/>
              </w:rPr>
              <w:t>簽名：____________________</w:t>
              <w:br/>
              <w:t>廖倫豪 博士 (Howard Liao, Ph.D.)</w:t>
              <w:br/>
              <w:t>Group CISO 候選人</w:t>
              <w:br/>
              <w:t>日期：2026 年 8 月    日</w:t>
            </w:r>
          </w:p>
        </w:tc>
        <w:tc>
          <w:tcPr>
            <w:tcW w:type="dxa" w:w="3168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8"/>
              </w:rPr>
              <w:t>簽名：____________________</w:t>
              <w:br/>
              <w:t>總經理 / 審計委員會召集人</w:t>
              <w:br/>
              <w:br/>
              <w:t>日期：2026 年 8 月    日</w:t>
            </w:r>
          </w:p>
        </w:tc>
        <w:tc>
          <w:tcPr>
            <w:tcW w:type="dxa" w:w="3168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8"/>
              </w:rPr>
              <w:t>簽名：____________________</w:t>
              <w:br/>
              <w:t>董事長 / 董事會代表</w:t>
              <w:br/>
              <w:br/>
              <w:t>日期：2026 年 8 月    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― Page Confidential ｜ Functional SOP &amp; WBS Execution Plan 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藥華醫藥（6446）各單位資安執行程序書與 WBS ｜ 機密標準作業規範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