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Rounded MT Bold" w:hAnsi="Arial Rounded MT Bold"/>
          <w:b/>
          <w:color w:val="E8590C"/>
          <w:sz w:val="19"/>
        </w:rPr>
        <w:t>PHARMAESSENTIA CORP. (6446.TW) ｜ CYBER RESILIENCE MASTER WBS</w:t>
      </w:r>
    </w:p>
    <w:p>
      <w:pPr>
        <w:spacing w:after="120" w:line="276" w:lineRule="auto"/>
      </w:pPr>
      <w:r>
        <w:rPr>
          <w:rFonts w:ascii="Arial Rounded MT Bold" w:hAnsi="Arial Rounded MT Bold"/>
          <w:b/>
          <w:color w:val="E8590C"/>
          <w:sz w:val="40"/>
        </w:rPr>
        <w:t>藥華醫藥集團 全球資安韌性治理與戰時應變</w:t>
        <w:br/>
        <w:t>12 個月落地實施專案工作分解結構 (Detailed WBS)</w:t>
      </w:r>
    </w:p>
    <w:p>
      <w:pPr>
        <w:spacing w:after="240"/>
      </w:pPr>
      <w:r>
        <w:rPr>
          <w:rFonts w:ascii="Arial" w:hAnsi="Arial"/>
          <w:i/>
          <w:color w:val="D97706"/>
          <w:sz w:val="22"/>
        </w:rPr>
        <w:t>Cyber Resilience Governance Model &amp; Comprehensive 4-Phase Implementation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4E6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報告人：</w:t>
            </w:r>
            <w:r>
              <w:rPr>
                <w:rFonts w:ascii="Arial Rounded MT Bold" w:hAnsi="Arial Rounded MT Bold"/>
                <w:b/>
                <w:color w:val="232629"/>
                <w:sz w:val="20"/>
              </w:rPr>
              <w:t>Howard Liao Ph.D. (廖倫豪 博士) ｜ Group CISO 候選人</w:t>
              <w:br/>
            </w: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呈報對象：</w:t>
            </w:r>
            <w:r>
              <w:rPr>
                <w:rFonts w:ascii="Arial" w:hAnsi="Arial"/>
                <w:b w:val="0"/>
                <w:color w:val="232629"/>
                <w:sz w:val="20"/>
              </w:rPr>
              <w:t>藥華醫藥 董事會 ｜ 審計委員會 ｜ 總經理 ｜ 人資長 ｜ 法務主管</w:t>
              <w:br/>
            </w: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安全密級：</w:t>
            </w:r>
            <w:r>
              <w:rPr>
                <w:rFonts w:ascii="Arial" w:hAnsi="Arial"/>
                <w:b w:val="0"/>
                <w:color w:val="232629"/>
                <w:sz w:val="20"/>
              </w:rPr>
              <w:t>極機密 (TLP:AMBER) ｜ 專案編號：PE-6446-WBS-2026-V3</w:t>
              <w:br/>
            </w: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適用標準：</w:t>
            </w:r>
            <w:r>
              <w:rPr>
                <w:rFonts w:ascii="Arial" w:hAnsi="Arial"/>
                <w:b w:val="0"/>
                <w:color w:val="232629"/>
                <w:sz w:val="20"/>
              </w:rPr>
              <w:t>NIST CSF 2.0 / FDA 21 CFR Part 11 / ISO/IEC 27001:2022 / ICH Q9(R1) GxP / ISO 42001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 Rounded MT Bold" w:hAnsi="Arial Rounded MT Bold"/>
          <w:b/>
          <w:color w:val="E8590C"/>
          <w:sz w:val="28"/>
        </w:rPr>
        <w:t>一、 專案總綱與生醫資安治理哲學 (Executive Mandate)</w:t>
      </w:r>
    </w:p>
    <w:p>
      <w:pPr>
        <w:spacing w:line="288" w:lineRule="auto" w:after="160"/>
      </w:pPr>
      <w:r>
        <w:rPr>
          <w:rFonts w:ascii="Arial" w:hAnsi="Arial"/>
          <w:color w:val="232629"/>
          <w:sz w:val="20"/>
        </w:rPr>
        <w:t>我是廖倫豪博士。本工作分解結構（WBS）全面整合藥華醫藥（6446.TW）面對 2026 年 8 月重大網攻事件之戰時處置實務，並對齊頂級生醫跨國藥廠之「Cyber Resilience Governance Model」。專案核心旨在落實「董事會監督、CEO／總經理承擔、集團 CISO 統籌、IT 與品質單位共同落地」的組織治理，堅決不複製群創等純工廠 OT 模式，而是將治理重心牢牢錨定於守護藥華藥研發核心專利（Besremi® CMC）、臨床與病患資料、GxP 電腦化系統（LIMS/QMS/ERP）以及全球跨國供應鏈。本 WBS 規劃 12 個月四階段全域推進路徑，確保將 ISO 27001 認證合規升級為「可偵測、可鑑識、可復原、可向董事會負責」的企業免疫能力。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9D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專案戰略北極星 (Strategic North Star)：</w:t>
              <w:br/>
            </w:r>
            <w:r>
              <w:rPr>
                <w:rFonts w:ascii="Arial" w:hAnsi="Arial"/>
                <w:b/>
                <w:color w:val="232629"/>
                <w:sz w:val="21"/>
              </w:rPr>
              <w:t>「保護研發與臨床價值、確保 GxP 與資料完整性、維持全球營運與供應韌性、並讓董事會能做出可追溯風險決策的企業治理功能。」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 Rounded MT Bold" w:hAnsi="Arial Rounded MT Bold"/>
          <w:b/>
          <w:color w:val="E8590C"/>
          <w:sz w:val="28"/>
        </w:rPr>
        <w:t>二、 12 個月四階段工作分解結構總表 (12-Month Master WBS)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864"/>
            <w:shd w:fill="FFE8D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17"/>
              </w:rPr>
              <w:t>WBS</w:t>
              <w:br/>
              <w:t>代碼</w:t>
            </w:r>
          </w:p>
        </w:tc>
        <w:tc>
          <w:tcPr>
            <w:tcW w:type="dxa" w:w="1728"/>
            <w:shd w:fill="FFE8D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17"/>
              </w:rPr>
              <w:t>工作包名稱</w:t>
              <w:br/>
              <w:t>(Work Package)</w:t>
            </w:r>
          </w:p>
        </w:tc>
        <w:tc>
          <w:tcPr>
            <w:tcW w:type="dxa" w:w="3168"/>
            <w:shd w:fill="FFE8D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17"/>
              </w:rPr>
              <w:t>工作內容與技術措施</w:t>
              <w:br/>
              <w:t>(Detailed Activities)</w:t>
            </w:r>
          </w:p>
        </w:tc>
        <w:tc>
          <w:tcPr>
            <w:tcW w:type="dxa" w:w="1872"/>
            <w:shd w:fill="FFE8D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17"/>
              </w:rPr>
              <w:t>核心交付成果</w:t>
              <w:br/>
              <w:t>(Deliverables)</w:t>
            </w:r>
          </w:p>
        </w:tc>
        <w:tc>
          <w:tcPr>
            <w:tcW w:type="dxa" w:w="1296"/>
            <w:shd w:fill="FFE8D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17"/>
              </w:rPr>
              <w:t>主責角色</w:t>
              <w:br/>
              <w:t>(RACI)</w:t>
            </w:r>
          </w:p>
        </w:tc>
        <w:tc>
          <w:tcPr>
            <w:tcW w:type="dxa" w:w="1008"/>
            <w:shd w:fill="FFE8D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17"/>
              </w:rPr>
              <w:t>時程</w:t>
              <w:br/>
              <w:t>SLA</w:t>
            </w:r>
          </w:p>
        </w:tc>
        <w:tc>
          <w:tcPr>
            <w:tcW w:type="dxa" w:w="1584"/>
            <w:shd w:fill="FFE8D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17"/>
              </w:rPr>
              <w:t>驗收標準</w:t>
              <w:br/>
              <w:t>(Acceptance)</w:t>
            </w:r>
          </w:p>
        </w:tc>
      </w:tr>
      <w:tr>
        <w:tc>
          <w:tcPr>
            <w:tcW w:type="dxa" w:w="1584"/>
            <w:gridSpan w:val="7"/>
            <w:shd w:fill="FFF4E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【WBS 1.0】 階段一：事件止血、司法鑑識與核心資產清查 (Assess &amp; Immediate Containment)  （時程標竿：0–30 天）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1.1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外部 DFIR 鑑識進駐與特權證據保全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簽署正式法律委任合約，確立 Attorney-Client Privilege。</w:t>
              <w:br/>
              <w:t>• 採集 RAM Dump、磁碟映像檔與 KAPE 假影包。</w:t>
              <w:br/>
              <w:t>• 建立符合司法標準之 SHA-256 監管鏈（Chain of Custody）。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《DFIR 法律委任書》</w:t>
              <w:br/>
              <w:t>《數位證據監管鏈清冊 (CoC)》</w:t>
              <w:br/>
              <w:t>原始鑑識映像檔案包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外部法務 / DFIR Lead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T+4h 至 T+18h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鑑識程序具法律訴訟防禦性，SHA-256 雜湊碼無竄改。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1.2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攻擊鏈逆向分析與王冠資產比對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逆向剖析 MITRE ATT&amp;CK 攻擊路徑與 C2 通訊。</w:t>
              <w:br/>
              <w:t>• 比對暗網釋出檔案與子公司財務/行政通訊錄。</w:t>
              <w:br/>
              <w:t>• 逐一檢驗 Besremi® CMC 專利加密金鑰與台中廠隔離狀態。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《MITRE 攻擊路徑與 IOC 特徵清冊》</w:t>
              <w:br/>
              <w:t>《暗網資料外洩比對報告》</w:t>
              <w:br/>
              <w:t>《CMC 專利完整性核實書》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資深鑑識專家 / QA Lead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T+36h 至 T+48h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確認核心專利 CMC 零外洩，台中蛋白質廠 100% 穩定。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1.3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外部曝險測繪與仿冒網域緊急阻斷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全域外部攻擊面（EASM）資產清查。</w:t>
              <w:br/>
              <w:t>• 針對 pharmaessentiacorp.com 等惡意仿冒網域通報 Takedown。</w:t>
              <w:br/>
              <w:t>• 與 Registrar 及 TWCERT/CC 連線處置。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《外部攻擊面測繪地圖 (EASM)》</w:t>
              <w:br/>
              <w:t>《仿冒網域阻斷證明公文》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SecOps / 法務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T+24h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惡意網域全域 DNS 解析阻斷，外部開放高風險 Port 清零。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1.4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身分止血與全域端點防護補齊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強制清查泛泰醫療等 18 台端點盲點，補齊 EDR Agent。</w:t>
              <w:br/>
              <w:t>• 執行 Active Directory krbtgt 帳號兩次重置。</w:t>
              <w:br/>
              <w:t>• 盤點高權限 Domain Admin / Cloud Root，回收幽靈特權。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《EDR 100% 覆蓋率確認單》</w:t>
              <w:br/>
              <w:t>《AD 特權輪替日誌》</w:t>
              <w:br/>
              <w:t>《緊急控制清單 (Immediate Fixes)》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基礎架構組 / SecOps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T+72h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全域端點 EDR 覆蓋率達 99.6% 以上，未授權特權帳號清零。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1.5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不可變備份健康審計與乾淨還原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審計 AWS S3 Object Lock (WORM) 與離線磁帶備份。</w:t>
              <w:br/>
              <w:t>• 搭建 Clean Room 隔離沙箱執行非對稱還原驗證。</w:t>
              <w:br/>
              <w:t>• 確認關鍵 ERP/LIMS 備份未遭勒索軟體邏輯破壞。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《不可變備份健康審計報告》</w:t>
              <w:br/>
              <w:t>《Clean Room 驗證放行記錄》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IT 維運主管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T+48h 至 T+72h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備份映像具防竄改 WORM 鎖定，乾淨還原成功率 100%。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1.6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主管機關重訊通報與法規答辯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彙整客觀鑑識數據，釐清資料外洩範圍與 GxP 衝擊。</w:t>
              <w:br/>
              <w:t>• 依法規時效呈報證交所重大訊息與主管機關調查報告。</w:t>
              <w:br/>
              <w:t>• 嚴守「以鑑識證據為準，不以早期假設為基礎」原則。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《證交所重大訊息申報稿》</w:t>
              <w:br/>
              <w:t>《主管機關技術申報答辯書》</w:t>
              <w:br/>
              <w:t>《DFIR 正式結案總結報告》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總經理 / 法務長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T+7d 至 T+14d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法規通報 100% 合規準時，避免因過度承諾引發監管裁罰。</w:t>
            </w:r>
          </w:p>
        </w:tc>
      </w:tr>
      <w:tr>
        <w:tc>
          <w:tcPr>
            <w:tcW w:type="dxa" w:w="1584"/>
            <w:gridSpan w:val="7"/>
            <w:shd w:fill="FFF4E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【WBS 2.0】 階段二：組織成型、防禦加固與制度化治理 (Design &amp; Foundation)  （時程標竿：31–90 天）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2.1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CISO 直屬核心團隊建置與人才盤點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依 9–14 人目標 Operating Model 盤點現有人力。</w:t>
              <w:br/>
              <w:t>• 明確 6 大功能單位 JD（GRC、SecOps、Eng、GxP、BCP、Office）。</w:t>
              <w:br/>
              <w:t>• 評估既有同仁專長轉任與外部高階職能補強缺口。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《CISO 核心編制組織職掌手冊》</w:t>
              <w:br/>
              <w:t>《現有人才盤點與補強計畫》</w:t>
              <w:br/>
              <w:t>《職能外包與內部自建權衡矩陣》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HR 人資長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31–60 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核心 6 大功能主管到位，落實漸進過渡，團隊穩定無動盪。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2.2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跨部門資安治理委員會正式制度化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由 CEO 擔任 Sponsor、CISO 擔任執行召集人。</w:t>
              <w:br/>
              <w:t>• 納入 CIO、QA、RA、法務、研發、製造、HR、內稽 10 大職能。</w:t>
              <w:br/>
              <w:t>• 召開首屆正式會議，確立跨部門風險取捨與資源決策機制。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《資安治理委員會組織章程》</w:t>
              <w:br/>
              <w:t>《首屆委員會會議紀錄與決議簿》</w:t>
              <w:br/>
              <w:t>《高風險接受（Risk Acceptance）流程》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CEO / CISO / 跨部門主管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45 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委員會每月定期召開，跨部門資源衝突具升級裁決機制。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2.3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全域 FIDO2 抗釣魚 MFA 與 PAM 導入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關鍵系統（SAP、LIMS、VPN、M365）強制啟用 FIDO2 MFA。</w:t>
              <w:br/>
              <w:t>• 導入特權帳號管理（PAM），落實動態一次性密碼與連線側錄。</w:t>
              <w:br/>
              <w:t>• 建立 Joiner-Mover-Leaver (JML) 身分生命週期自動收回。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《特權身分零信任實施辦法》</w:t>
              <w:br/>
              <w:t>《FIDO2 MFA 全域覆蓋率查核表》</w:t>
              <w:br/>
              <w:t>《PAM 特權金鑰庫建置證明》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Security Engineering / IT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45–75 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關鍵系統抗釣魚 MFA 覆蓋率 100%，特權操作具完整審計日誌。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2.4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三層事件應變模型與實兵演練機制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制定 Level 1（一般）、Level 2（重大）、Level 3（危機）應變準則。</w:t>
              <w:br/>
              <w:t>• 編制 Ransomware、BEC、帳密遭竊、供應鏈中斷 SOP。</w:t>
              <w:br/>
              <w:t>• 舉行全集團跨部門桌面兵棋推演（Tabletop Exercise）。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《三層事件應變標準作業程序 (SOP)》</w:t>
              <w:br/>
              <w:t>《SEV-1 重大危機戰時應變手冊》</w:t>
              <w:br/>
              <w:t>《跨部門資安兵推總結報告》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SecOps / QA / 法務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60–90 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各單位熟悉升級門檻，兵推發現缺失 100% 納入 CAPA。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2.5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全球郵件 DMARC 強制與網路微隔離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全球官方網域全面推動 DMARC p=reject 策略阻斷偽冒信件。</w:t>
              <w:br/>
              <w:t>• 實施核心主機網段微隔離（Micro-segmentation）。</w:t>
              <w:br/>
              <w:t>• 複查台中廠與外部連線之 Purdue Model 實體隔離實效。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《DMARC p=reject 生效驗證單》</w:t>
              <w:br/>
              <w:t>《核心網段微隔離規則庫》</w:t>
              <w:br/>
              <w:t>《台中廠 Purdue Model 隔離確效清單》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網路通訊組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60–90 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偽冒藥華藥網域郵件 100% 阻斷，工廠 OT 與 IT 完全隔離。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2.6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董事會一頁式 KRI 儀表板與投資商業案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將技術指標轉化為商業語言，建立 6 大構面 KRI/KPI。</w:t>
              <w:br/>
              <w:t>• 編制年度資安預算效益商業個案（Business Case）。</w:t>
              <w:br/>
              <w:t>• 呈報董事會與審計委員會首季治理成果與後續投資效益。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《董事會一頁式資安治理儀表板 v1》</w:t>
              <w:br/>
              <w:t>《年度資安投資商業個案評估書》</w:t>
              <w:br/>
              <w:t>《董事會與審計會呈報簡報 (16:9)》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CISO / 財務主管 / 審計會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75–90 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董事會報告按期率 100%，資安預算與商業目標精準對齊。</w:t>
            </w:r>
          </w:p>
        </w:tc>
      </w:tr>
      <w:tr>
        <w:tc>
          <w:tcPr>
            <w:tcW w:type="dxa" w:w="1584"/>
            <w:gridSpan w:val="7"/>
            <w:shd w:fill="FFF4E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【WBS 3.0】 階段三：深層整合、GxP 品質確效與供應鏈管理 (Scale &amp; Quality Integration)  （時程標竿：3–6 個月）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3.1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24×7 外部 MDR/SOC 整合與日誌中台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遴選並對接頂級 24×7 託管式偵測應變（MDR/SOC）服務。</w:t>
              <w:br/>
              <w:t>• 關鍵受管制系統、雲端與端點安全日誌集中接入 SIEM。</w:t>
              <w:br/>
              <w:t>• 調優生醫專屬用例（Use Cases），壓降警報雜訊。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《MDR 24×7 服務等級協議 (SLA)》</w:t>
              <w:br/>
              <w:t>《SIEM 全球日誌架構手冊》</w:t>
              <w:br/>
              <w:t>《MTTD/MTTR 監控即時看板》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SecOps / MDR 廠商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4–5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關鍵系統日誌接入率 &gt;95%，MTTD &lt;15 分鐘，MTTR &lt;60 分鐘。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3.2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漏洞自動化生命週期與修補 SLA 落地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建立自動化弱點掃描與外部攻擊面優先級排序流程。</w:t>
              <w:br/>
              <w:t>• 訂定 SLA：Critical 弱點 72 小時修補、High 弱點 14 天修補。</w:t>
              <w:br/>
              <w:t>• 建立補丁上線前之相容性與 GxP 確效回歸測試標準。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《全集團弱點管理與修補規範》</w:t>
              <w:br/>
              <w:t>《每月弱點修補達標率統計表》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SecOps / 應用組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4–6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Critical/High 弱點 SLA 內修補率達 95% 以上。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3.3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GxP 受管制系統資安風險分級與 CSV/CSA 確效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盤點 LIMS、QMS、DMS、ERP 及臨床 EDC 受管制系統。</w:t>
              <w:br/>
              <w:t>• 深度協同 QA 建立 CSV/CSA 電腦化系統資安審查標準。</w:t>
              <w:br/>
              <w:t>• 驗證變更控制程序符合 FDA 21 CFR Part 11 及 ICH Q9(R1)。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《GxP 受管制系統資安風險分級清冊》</w:t>
              <w:br/>
              <w:t>《CSV/CSA 資安確效審查標準》</w:t>
              <w:br/>
              <w:t>《FDA 21 CFR 11 合規檢驗報告》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GxP 資安專員 / QA 主管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4–6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高風險 GxP 系統完成資安風險評估率達 100%。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3.4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ALCOA+ 資料完整性與 Audit Trail 監控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針對實驗室檢驗數據與生產批次記錄實施防竄改保護。</w:t>
              <w:br/>
              <w:t>• 導入 UEBA 智慧稽核日誌，自動比對異常時間修改紀錄。</w:t>
              <w:br/>
              <w:t>• 建立 Audit Trail 缺失之 CAPA 即時改善閉環流程。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《ALCOA+ 資料完整性控制矩陣》</w:t>
              <w:br/>
              <w:t>《Audit Trail 自動化監測規則書》</w:t>
              <w:br/>
              <w:t>《CAPA 缺失改善追蹤清單》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QA Lead / UEBA 專員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5–6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Audit Trail 缺失 CAPA 準時結案率達 95% 以上。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3.5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第三方供應鏈與外包商風險治理 (TPRM)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針對 CRO、CDMO、CMO 及雲端服務商建立風險分級。</w:t>
              <w:br/>
              <w:t>• 於所有商業合約增訂強制性資安基準與重大事件通報條款。</w:t>
              <w:br/>
              <w:t>• 實施廠商遠端維運專用跳板機（Bastion Host）與側錄。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《第三方供應鏈資安管理辦法 (TPRM)》</w:t>
              <w:br/>
              <w:t>《外包合約資安標準條款範本》</w:t>
              <w:br/>
              <w:t>《關鍵供應商年度稽核查核表》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法務 / 供應鏈主管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5–6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高風險第三方資安審查覆蓋率 100%，合約資安條款納入率 100%。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3.6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業務衝擊分析 (BIA) 與災難復原實戰演練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重新核定全集團 Tier-1 核心系統 RTO (&lt;4h) 與 RPO (&lt;15m)。</w:t>
              <w:br/>
              <w:t>• 驗證跨區域雲端異地備援及實體不可變備份 WORM 機制。</w:t>
              <w:br/>
              <w:t>• 執行跨系統全業務無預警乾淨還原實兵切換演練。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《集團業務衝擊分析 (BIA) 報告書》</w:t>
              <w:br/>
              <w:t>《不可變備份實體還原演練紀錄》</w:t>
              <w:br/>
              <w:t>《BCP/DR 災難復原演練總結報告》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BCP 專員 / IT 主管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6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Tier-1 系統備份還原成功率 100%，RTO/RPO 達標率 &gt;95%。</w:t>
            </w:r>
          </w:p>
        </w:tc>
      </w:tr>
      <w:tr>
        <w:tc>
          <w:tcPr>
            <w:tcW w:type="dxa" w:w="1584"/>
            <w:gridSpan w:val="7"/>
            <w:shd w:fill="FFF4E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【WBS 4.0】 階段四：全球子公司納管、AI 治理與常態免疫 (Global Adaptive Resilience)  （時程標竿：6–12 個月）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4.1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全球海外子公司與泛泰醫療全面納管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將美國、日本、歐洲等海外營運據點納入統一資安基線。</w:t>
              <w:br/>
              <w:t>• 整合泛泰醫療及各附屬單位身分目錄與 EDR 監控體系。</w:t>
              <w:br/>
              <w:t>• 消除跨國資訊架構孤島，落實集團總部集中審計與合規。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《集團全球統一資安基線 (Baseline)》</w:t>
              <w:br/>
              <w:t>《海外據點資安合規清單》</w:t>
              <w:br/>
              <w:t>《跨國網路安全審計總結書》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海外 IT / GRC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7–9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全球子公司 100% 納入總部監控，消除影子 IT 盲點。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4.2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董事會層級重大危機跨國跨職能兵棋演練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模擬跨國供應鏈中斷、勒索攻擊與營業秘密外洩複合危機。</w:t>
              <w:br/>
              <w:t>• 演練董事會重大決策、跨國法規通報與國際媒體危機公關。</w:t>
              <w:br/>
              <w:t>• 驗證 C-Suite 在高度不確定情境下之指揮與法遵決策能力。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《董事會跨國危機兵推腳本》</w:t>
              <w:br/>
              <w:t>《演練評估與改善行動清單》</w:t>
              <w:br/>
              <w:t>《危機溝通與外部發言指引》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CEO / 董事長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9–10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董事會高度評價，決策鏈反應時間縮短 50% 以上。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4.3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ISO/IEC 27001:2022 持續改善與年度複審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執行年度全域資安內部稽核與管理審查會議（MRM）。</w:t>
              <w:br/>
              <w:t>• 針對新納入系統與海外據點更新 SoA 適用性聲明。</w:t>
              <w:br/>
              <w:t>• 順利通過國際第三方驗證機構之年度監督查核。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《ISO 27001:2022 內部稽核報告》</w:t>
              <w:br/>
              <w:t>《管理審查會議紀錄》</w:t>
              <w:br/>
              <w:t>《年度持續有效性驗證證書》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GRC 主管 / 內稽主管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10–11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內外稽核重大缺失零逾期，合規體系健康運轉。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4.4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企業級生醫 AI 研發治理 (ISO 42001)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針對新藥分子篩選與生物資訊 AI Pipeline 建立治理準則。</w:t>
              <w:br/>
              <w:t>• 導入 ISO 42001 AI 安全生命週期（AISDLC）架構。</w:t>
              <w:br/>
              <w:t>• 結合 UEBA 監控演算法數據存取，嚴防模型逆向與專利洩密。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《生醫 AI 研發治理實施辦法》</w:t>
              <w:br/>
              <w:t>《AI 模型存取權限審計清冊》</w:t>
              <w:br/>
              <w:t>《新藥分子研發專利防竊矩陣》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CTO / GRC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10–12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新藥研發 AI 模型具可追溯性，專利分子式零外流。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4.5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獨立第三方紅藍軍全真攻防演練 (Red Teaming)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聘請頂級獨立資安團隊執行不限路徑之實戰紅隊演練。</w:t>
              <w:br/>
              <w:t>• 檢驗組織防禦（Blue Team）之偵測速度與阻斷能力。</w:t>
              <w:br/>
              <w:t>• 產出威脅防禦矩陣並完成所有高風險弱點根除。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《獨立紅隊攻防實戰演練報告》</w:t>
              <w:br/>
              <w:t>《防禦偵測差距改善矩陣》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外部紅隊 / SecOps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11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驗證防禦體系在無預警攻擊下之真實韌性與及時攔阻率。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E8590C"/>
                <w:sz w:val="16"/>
              </w:rPr>
              <w:t>4.6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232629"/>
                <w:sz w:val="16"/>
              </w:rPr>
              <w:t>專案年度總驗收與常態化運營移交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• 全面檢核 6 大類考核 KPI/KRI 達成率。</w:t>
              <w:br/>
              <w:t>• 編制年度資安治理白皮書並向董事會提交正式成果報告。</w:t>
              <w:br/>
              <w:t>• 穩健移交為日常主動免疫監控 Cadence，確立常態運作機制。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《藥華醫藥全球資安年度總結白皮書》</w:t>
              <w:br/>
              <w:t>《CISO 年度治理成果驗收書》</w:t>
              <w:br/>
              <w:t>《常態化免疫監控作業指引》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C92A2A"/>
                <w:sz w:val="16"/>
              </w:rPr>
              <w:t>總經理 / 審計會 / CISO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 Rounded MT Bold" w:hAnsi="Arial Rounded MT Bold"/>
                <w:b/>
                <w:color w:val="D97706"/>
                <w:sz w:val="16"/>
              </w:rPr>
              <w:t>第 12 個月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32629"/>
                <w:sz w:val="16"/>
              </w:rPr>
              <w:t>董事會核准結案，CISO Operating Model 成為常態競爭優勢。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Arial Rounded MT Bold" w:hAnsi="Arial Rounded MT Bold"/>
          <w:b/>
          <w:color w:val="E8590C"/>
          <w:sz w:val="28"/>
        </w:rPr>
        <w:t>三、 治理簽核與落地責任矩陣 (Governance Sign-off)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FFFFFF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rial Rounded MT Bold" w:hAnsi="Arial Rounded MT Bold"/>
                <w:b/>
                <w:color w:val="E8590C"/>
                <w:sz w:val="19"/>
              </w:rPr>
              <w:t>✦ 規劃提案人 (我 / 廖博士)</w:t>
              <w:br/>
            </w:r>
            <w:r>
              <w:rPr>
                <w:rFonts w:ascii="Arial" w:hAnsi="Arial"/>
                <w:color w:val="232629"/>
                <w:sz w:val="17"/>
              </w:rPr>
              <w:t>廖倫豪 博士 (Howard Liao, Ph.D.)</w:t>
              <w:br/>
              <w:t>Group CISO 候選人</w:t>
              <w:br/>
              <w:br/>
              <w:t>簽署：_____________________</w:t>
              <w:br/>
              <w:t>日期：2026 年 8 月 31 日</w:t>
            </w:r>
          </w:p>
        </w:tc>
        <w:tc>
          <w:tcPr>
            <w:tcW w:type="dxa" w:w="3202"/>
            <w:shd w:fill="FFFFFF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rial Rounded MT Bold" w:hAnsi="Arial Rounded MT Bold"/>
                <w:b/>
                <w:color w:val="E8590C"/>
                <w:sz w:val="19"/>
              </w:rPr>
              <w:t>✦ 審閱 (CHRO / CEO)</w:t>
              <w:br/>
            </w:r>
            <w:r>
              <w:rPr>
                <w:rFonts w:ascii="Arial" w:hAnsi="Arial"/>
                <w:color w:val="232629"/>
                <w:sz w:val="17"/>
              </w:rPr>
              <w:t>人資長 / 總經理 代表</w:t>
              <w:br/>
              <w:br/>
              <w:br/>
              <w:t>簽署：_____________________</w:t>
              <w:br/>
              <w:t>日期：2026 年 8 月 _____ 日</w:t>
            </w:r>
          </w:p>
        </w:tc>
        <w:tc>
          <w:tcPr>
            <w:tcW w:type="dxa" w:w="3202"/>
            <w:shd w:fill="FFFFFF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rial Rounded MT Bold" w:hAnsi="Arial Rounded MT Bold"/>
                <w:b/>
                <w:color w:val="E8590C"/>
                <w:sz w:val="19"/>
              </w:rPr>
              <w:t>✦ 核定 (Board / Audit Committee)</w:t>
              <w:br/>
            </w:r>
            <w:r>
              <w:rPr>
                <w:rFonts w:ascii="Arial" w:hAnsi="Arial"/>
                <w:color w:val="232629"/>
                <w:sz w:val="17"/>
              </w:rPr>
              <w:t>董事長 / 審計委員會代表</w:t>
              <w:br/>
              <w:br/>
              <w:br/>
              <w:t>簽署：_____________________</w:t>
              <w:br/>
              <w:t>日期：2026 年 8 月 _____ 日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