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DE5814"/>
          <w:sz w:val="20"/>
        </w:rPr>
        <w:t>內部架構評估與產品技術轉化規格書 (Architecture Evaluation &amp; Adoption Spec)</w:t>
      </w:r>
    </w:p>
    <w:p>
      <w:pPr>
        <w:spacing w:before="40" w:after="120"/>
      </w:pPr>
      <w:r>
        <w:rPr>
          <w:b/>
          <w:color w:val="A83212"/>
          <w:sz w:val="40"/>
        </w:rPr>
        <w:t>M9 系統架構核心優點剖析與我司《鬥陣江湖》商業模式吸納規格書</w:t>
      </w:r>
    </w:p>
    <w:p>
      <w:pPr>
        <w:spacing w:after="320" w:line="288" w:lineRule="auto"/>
      </w:pPr>
      <w:r>
        <w:rPr>
          <w:color w:val="2D3748"/>
          <w:sz w:val="19"/>
        </w:rPr>
        <w:t>規劃負責人：Howard Liao Ph.D. (廖倫豪 博士)</w:t>
        <w:br/>
        <w:t>所屬單位：盛欣網絡 (Shenxin Network) / 上市櫃數位科技與娛樂集團 (6542.TWO)</w:t>
        <w:br/>
        <w:t>職務：副總經理 / 資訊長 (CIO/CISO/CDAIO)</w:t>
        <w:br/>
        <w:t>文件編號：SX-SPEC-202609-ARCH | 日期：2026 年 9 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我司商業底線與技術轉化原則</w:t>
              <w:br/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【核心合規與業務定錨】：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1. 盛欣網絡核心業務為俱樂部代理商房卡批銷模式（二元制衡：推廣部門負責招商審核，營運部門負責額度派發）。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2. 產品嚴格僅有「房卡 / 開桌服務費」，堅決杜絕任何虛寶、道具、藥水、時裝、抽卡轉蛋，亦不可有任何兌現涉賭鏈條。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3. 風格嚴格定位為「台味國風江湖武俠風」（客棧紅木桌、熊貓大俠潘達、暗棋麻將、十三張）。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4. 本報告宗旨：客觀提煉 M9 系統在高併發、風控防作弊、分銷清算上的底層技術優勢，精準轉化為我司合規房卡系統之核心架構。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A83212"/>
          <w:sz w:val="28"/>
        </w:rPr>
        <w:t>第一篇：M9 系統底層架構之六大核心優點剖析</w:t>
      </w:r>
    </w:p>
    <w:p>
      <w:pPr>
        <w:spacing w:line="300" w:lineRule="auto" w:after="160"/>
      </w:pPr>
      <w:r>
        <w:rPr>
          <w:color w:val="2D3748"/>
          <w:sz w:val="20"/>
        </w:rPr>
        <w:t>客觀而言，M9 系統在面對高強度、低延遲、海量注單與黑產惡意套利的極端環境下，淬鍊出了極具借鏡價值的架構實踐。其核心技術優點表現在以下六大維度：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核心優點維度</w:t>
            </w:r>
          </w:p>
        </w:tc>
        <w:tc>
          <w:tcPr>
            <w:tcW w:type="dxa" w:w="2948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底層實現機制</w:t>
            </w:r>
          </w:p>
        </w:tc>
        <w:tc>
          <w:tcPr>
            <w:tcW w:type="dxa" w:w="4535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架構優勢與實戰效益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1. 單一免轉中台</w:t>
              <w:br/>
              <w:t>(Seamless Wallet)</w:t>
            </w:r>
          </w:p>
        </w:tc>
        <w:tc>
          <w:tcPr>
            <w:tcW w:type="dxa" w:w="29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Server-to-Server 簽名授權 + 分散式事務冪等控制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玩家無需在錢包間手動轉帳，進桌毫秒級校驗，支持突發百萬級請求之高併發扣減與即時補償，徹底消弭資產掉單。</w:t>
            </w:r>
          </w:p>
        </w:tc>
      </w:tr>
      <w:tr>
        <w:tc>
          <w:tcPr>
            <w:tcW w:type="dxa" w:w="215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2. 四維關聯風控</w:t>
              <w:br/>
              <w:t>(DataRisk Engine)</w:t>
            </w:r>
          </w:p>
        </w:tc>
        <w:tc>
          <w:tcPr>
            <w:tcW w:type="dxa" w:w="29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IP 網段 / APP 機碼指紋 / 帳號行為多維聚類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秒級繪製帳號關聯拓撲圖，精準揪出多開刷單、同設備切換與組織化作弊團隊，配備一鍵流水重置與特權熔斷工具。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3. 級差分銷引擎</w:t>
              <w:br/>
              <w:t>(Overriding Spread)</w:t>
            </w:r>
          </w:p>
        </w:tc>
        <w:tc>
          <w:tcPr>
            <w:tcW w:type="dxa" w:w="29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金字塔樹狀層級遞歸算力 + 佣金自動拆帳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靈活支援「級差抽成」與「三級穿透裂變」，系統自動處理上級抽下級差額，分流明確且杜絕階梯倒掛穿倉。</w:t>
            </w:r>
          </w:p>
        </w:tc>
      </w:tr>
      <w:tr>
        <w:tc>
          <w:tcPr>
            <w:tcW w:type="dxa" w:w="215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4. Casbin RBAC 治理</w:t>
              <w:br/>
              <w:t>(Fine-Grained Security)</w:t>
            </w:r>
          </w:p>
        </w:tc>
        <w:tc>
          <w:tcPr>
            <w:tcW w:type="dxa" w:w="29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基於 RESTful API 路徑的 p, sub, obj, act 策略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實現中大型企業級資料與功能權限硬隔離，敏感操作（調帳、改綁）全量記錄前後 JSON 差異對比，審計軌跡嚴密。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5. 多租戶動態隔離</w:t>
              <w:br/>
              <w:t>(Multi-Tenancy)</w:t>
            </w:r>
          </w:p>
        </w:tc>
        <w:tc>
          <w:tcPr>
            <w:tcW w:type="dxa" w:w="29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邏輯租戶代碼 (plat_id) + CDN 靜態資源分離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單套核心代碼支援開闢數百個獨立子品牌站點，支援動態熱加載多套前端皮膚與語系，大幅降低運維重疊成本。</w:t>
            </w:r>
          </w:p>
        </w:tc>
      </w:tr>
      <w:tr>
        <w:tc>
          <w:tcPr>
            <w:tcW w:type="dxa" w:w="215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6. 實時長連線通訊</w:t>
              <w:br/>
              <w:t>(TCP / WS Backbone)</w:t>
            </w:r>
          </w:p>
        </w:tc>
        <w:tc>
          <w:tcPr>
            <w:tcW w:type="dxa" w:w="29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全雙工長連線心跳 + 跑馬燈廣播總線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前端即時感知餘額異動、大獎廣播與系統維護踢線指令，避免高頻短輪詢對伺服器資料庫造成的 I/O 衝擊。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A83212"/>
          <w:sz w:val="28"/>
        </w:rPr>
        <w:t>第二篇：我司（盛欣網絡《鬥陣江湖》）核心架構需求與技術吸納規格</w:t>
      </w:r>
    </w:p>
    <w:p>
      <w:pPr>
        <w:spacing w:line="300" w:lineRule="auto" w:after="160"/>
      </w:pPr>
      <w:r>
        <w:rPr>
          <w:color w:val="2D3748"/>
          <w:sz w:val="20"/>
        </w:rPr>
        <w:t>我司立足於台灣合規休閒娛樂產業，專案《鬥陣江湖》以客棧紅木桌、熊貓大俠潘達、暗棋麻將為核心，堅持純粹「房卡批銷/開桌服務費」商業模式。我們全面剔除 M9 涉及之地下金流代付與賭資結算，精準吸納其技術精華，確立我司迫切需要的六大核心架構：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我司急需架構模組</w:t>
            </w:r>
          </w:p>
        </w:tc>
        <w:tc>
          <w:tcPr>
            <w:tcW w:type="dxa" w:w="2948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技術吸納與改造落實規範</w:t>
            </w:r>
          </w:p>
        </w:tc>
        <w:tc>
          <w:tcPr>
            <w:tcW w:type="dxa" w:w="4535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對接我司商業模式之實質效益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1. 俱樂部房卡批銷</w:t>
              <w:br/>
              <w:t>階梯清算引擎</w:t>
            </w:r>
          </w:p>
        </w:tc>
        <w:tc>
          <w:tcPr>
            <w:tcW w:type="dxa" w:w="29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吸納 M9 級差算法，重構為「房卡採購階梯折扣體系」：依俱樂部會長進貨量自動結算批銷折扣與房卡消耗返點。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徹底取代負盈利分成，形成合法的批發商折扣模式；激勵大公會會長建立推廣梯隊。</w:t>
            </w:r>
          </w:p>
        </w:tc>
      </w:tr>
      <w:tr>
        <w:tc>
          <w:tcPr>
            <w:tcW w:type="dxa" w:w="215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2. 公平競技防夥牌</w:t>
              <w:br/>
              <w:t>反作弊偵測圖譜</w:t>
            </w:r>
          </w:p>
        </w:tc>
        <w:tc>
          <w:tcPr>
            <w:tcW w:type="dxa" w:w="29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吸納 M9 四維關聯圖譜，強化「GPS地理距離 (&lt;50m) + 同WiFi IP + 同機碼」同桌偵測，違規者強制踢出開桌。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保障《鬥陣江湖》暗棋、麻將之絕對競技公平性，徹底杜絕線下熟人通牌作弊，守護綠色招牌。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3. 高併發房卡扣減</w:t>
              <w:br/>
              <w:t>與防雙花中台</w:t>
            </w:r>
          </w:p>
        </w:tc>
        <w:tc>
          <w:tcPr>
            <w:tcW w:type="dxa" w:w="29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吸納 M9 Seamless 核心事務與分散式鎖 (Redis Redlock)，落實「開桌即凍結、局畢實時扣減、流局自動退還」機制。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確保數萬俱樂部包廂在週末晚間高峰同時開桌時，房卡扣減 100% 準確、零掉卡、零雙花。</w:t>
            </w:r>
          </w:p>
        </w:tc>
      </w:tr>
      <w:tr>
        <w:tc>
          <w:tcPr>
            <w:tcW w:type="dxa" w:w="215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4. 推廣與營運二元</w:t>
              <w:br/>
              <w:t>制衡內部控制系統</w:t>
            </w:r>
          </w:p>
        </w:tc>
        <w:tc>
          <w:tcPr>
            <w:tcW w:type="dxa" w:w="29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吸納 M9 Casbin RBAC 模型，嚴格切分：推廣部門僅有代理俱樂部資質審核權；營運部門專責房卡額度派發與實質對帳。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落實集團上市櫃內控合規標準，杜絕單一部門專權私自超發房卡，所有敏感調帳需主管雙簽。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5. 國風武俠動態裝修</w:t>
              <w:br/>
              <w:t>微前端架構</w:t>
            </w:r>
          </w:p>
        </w:tc>
        <w:tc>
          <w:tcPr>
            <w:tcW w:type="dxa" w:w="29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吸納 M9 模板動態加載機制，建構專屬「江湖客棧紅木桌、熊貓大俠潘達」之熱更新 CDN 資源池。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支援節慶（中秋客棧慶典、春節擂台）與不同俱樂部專屬客棧牌匾微前端熱抽換，客戶端免頻繁發版。</w:t>
            </w:r>
          </w:p>
        </w:tc>
      </w:tr>
      <w:tr>
        <w:tc>
          <w:tcPr>
            <w:tcW w:type="dxa" w:w="215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6. 房卡進銷存閉環</w:t>
              <w:br/>
              <w:t>與生命週期報表</w:t>
            </w:r>
          </w:p>
        </w:tc>
        <w:tc>
          <w:tcPr>
            <w:tcW w:type="dxa" w:w="29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吸納 M9 數據對帳邏輯，建立「房卡發行總量 = 總控出庫 + 俱樂部在庫 + 玩家持有 + 開桌消耗」實時日平帳報表。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每日自動跑平帳檢驗，一旦出現未授權房卡增量秒級告警熔斷，維護我司虛擬房卡資產的嚴肅性。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A83212"/>
          <w:sz w:val="28"/>
        </w:rPr>
        <w:t>第三篇：我司系統重構技術實施藍圖 (Engineering Roadmap)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三階段技術落地路線圖 (Phased Milestones)</w:t>
              <w:br/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【第一階段：資產與清算中台重構 (M1~M2)】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參考 M9 事務設計，封裝獨立的『房卡批銷與開桌扣減微服務』，保證開桌扣卡之強一致性。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建立俱樂部批發階梯折扣計算模組，實現推廣與營運二元制衡的雙人審批工作流。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【第二階段：防夥牌圖譜與風控感知上線 (M3)】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在遊戲大廳與開桌服務中嵌入四維指紋採集，實施 GPS 物理距離與同網段即時撞庫排查。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建立伙牌作弊告警儀表板，一旦命中疑似通牌行為自動終止該桌遊戲並退還無辜玩家房卡。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【第三階段：數倉日平帳與內控審計閉環 (M4)】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導入 CDC (Change Data Capture) 異步數據匯總，每日凌晨產出全站房卡進銷存損益平衡表。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全面落實 Casbin RESTful 權限稽核，準備迎接上市公司內部稽核與會計師實質性測試。</w:t>
            </w:r>
          </w:p>
        </w:tc>
      </w:tr>
    </w:tbl>
    <w:p>
      <w:pPr>
        <w:spacing w:after="120"/>
      </w:pPr>
    </w:p>
    <w:p>
      <w:pPr>
        <w:spacing w:before="320"/>
        <w:jc w:val="right"/>
      </w:pPr>
      <w:r>
        <w:rPr>
          <w:b/>
          <w:color w:val="A83212"/>
          <w:sz w:val="22"/>
        </w:rPr>
        <w:t>Howard Liao Ph.D. (廖倫豪 博士)</w:t>
        <w:br/>
      </w:r>
      <w:r>
        <w:rPr>
          <w:color w:val="94A3B8"/>
          <w:sz w:val="18"/>
        </w:rPr>
        <w:t>上市櫃數位科技與娛樂集團 資訊長 (CIO/CISO/CDAIO)</w:t>
        <w:br/>
        <w:t>盛欣網絡 副總經理</w:t>
        <w:br/>
        <w:t>2026 年 9 月 規劃於 台北研究室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Howard Liao Ph.D. (廖倫豪 博士) — 機密技術資產 | 僅供內部決策研析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盛欣網絡 × 集團戰略規劃：M9 優點剖析與我司核心架構需求規格書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