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DE5814"/>
          <w:sz w:val="20"/>
        </w:rPr>
        <w:t>企業級營運架構與數據規範專案 (Executive Architecture Specification)</w:t>
      </w:r>
    </w:p>
    <w:p>
      <w:pPr>
        <w:spacing w:before="40" w:after="120"/>
      </w:pPr>
      <w:r>
        <w:rPr>
          <w:b/>
          <w:color w:val="A83212"/>
          <w:sz w:val="40"/>
        </w:rPr>
        <w:t>M9 娛樂城營運報表全景盤點、日週月決策指標缺漏分析與代理分層分潤體系全規格書</w:t>
      </w:r>
    </w:p>
    <w:p>
      <w:pPr>
        <w:spacing w:after="320" w:line="288" w:lineRule="auto"/>
      </w:pPr>
      <w:r>
        <w:rPr>
          <w:color w:val="2D3748"/>
          <w:sz w:val="19"/>
        </w:rPr>
        <w:t>架構師與報告人：Howard Liao Ph.D. (廖倫豪 博士)</w:t>
        <w:br/>
        <w:t>呈送對象：Leo、Ben</w:t>
        <w:br/>
        <w:t>版本編號：SPEC-202609-M9-OPS | 適用範疇：M9 總控後台 SuperAdmin、前台大廳 Template M21</w:t>
        <w:br/>
        <w:t>日期：2026 年 9 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規格書核心範疇導讀 (Executive Summary)</w:t>
              <w:br/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本文件為匯出 M9 / KOOBET 系統深度技術逆向研究的三大核心成果：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1. 【現有營運報表全景盤點】：收錄系統 370 個代碼區塊與 220+ API 所對應之 6 大領域、20+ 類現役報表與欄位規格。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2. 【日、週、月決策報表缺漏分析】：針對現行系統缺乏的「負債準備金平帳、金流漏斗、RTP偏差、留存同梯次、NGR瀑布」等 12 張核心報表進行精確公式定義與技術架構補強。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3. 【代理分層分潤矩陣與 5 大設定模式】：完整規範傳統團隊代理（RS 負盈利佔成 30%~55%、洗碼抽水）、前台全民代理（0.4%/0.2%/0.1% 三級裂變）、級差 Overriding、混合 CPA 以及四大底層風控稽核紅線。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A83212"/>
          <w:sz w:val="28"/>
        </w:rPr>
        <w:t>第一項：M9 現有內建營運報表全體系盤點 (6 大領域 20+ 類報表)</w:t>
      </w:r>
    </w:p>
    <w:p>
      <w:pPr>
        <w:spacing w:line="300" w:lineRule="auto" w:after="160"/>
      </w:pPr>
      <w:r>
        <w:rPr>
          <w:color w:val="2D3748"/>
          <w:sz w:val="20"/>
        </w:rPr>
        <w:t>透過對 M9 後台 SuperAdmin 的 370 個 Vue Chunks 與底層 API 端點的逆向梳理，系統內建的報表體系主要聚焦於「資產記帳、注單清算與基礎分銷結算」。以下為目前系統所支援的 6 大領域報表全量盤點：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領域模組</w:t>
            </w:r>
          </w:p>
        </w:tc>
        <w:tc>
          <w:tcPr>
            <w:tcW w:type="dxa" w:w="2551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報表名稱</w:t>
            </w:r>
          </w:p>
        </w:tc>
        <w:tc>
          <w:tcPr>
            <w:tcW w:type="dxa" w:w="2551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底層 API 端點</w:t>
            </w:r>
          </w:p>
        </w:tc>
        <w:tc>
          <w:tcPr>
            <w:tcW w:type="dxa" w:w="2835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核心欄位與指標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1. 財務與金流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綜合財務日報 / 月報</w:t>
              <w:br/>
              <w:t>存提通道對帳報表</w:t>
              <w:br/>
              <w:t>三方金流手續費報表</w:t>
              <w:br/>
              <w:t>商戶額度調撥明細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/agentMemberData/getFinanceReport</w:t>
              <w:br/>
              <w:t>/agentMemberData/getCashReport</w:t>
              <w:br/>
              <w:t>/agentMemberData/getThirdPayReport</w:t>
              <w:br/>
              <w:t>/agentMemberData/getSubPltBalanceDetail</w:t>
            </w:r>
          </w:p>
        </w:tc>
        <w:tc>
          <w:tcPr>
            <w:tcW w:type="dxa" w:w="28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總充值、總提款、存提淨差額、有效投注額、GGR毛利、NGR淨營收、PromptPay/網銀成功率、平均到帳秒數、手續費扣除額。</w:t>
            </w:r>
          </w:p>
        </w:tc>
      </w:tr>
      <w:tr>
        <w:tc>
          <w:tcPr>
            <w:tcW w:type="dxa" w:w="170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2. 場館與注單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場館盈虧總表</w:t>
              <w:br/>
              <w:t>注單審查明細表</w:t>
              <w:br/>
              <w:t>注單視訊回放調取</w:t>
              <w:br/>
              <w:t>各子遊戲熱門排行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/agentMemberData/getGameReport</w:t>
              <w:br/>
              <w:t>/betRecord/getBetRecordList</w:t>
              <w:br/>
              <w:t>/betRecord/getRecordUrl</w:t>
              <w:br/>
              <w:t>/mainPageConf/sortSubGame</w:t>
            </w:r>
          </w:p>
        </w:tc>
        <w:tc>
          <w:tcPr>
            <w:tcW w:type="dxa" w:w="28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20+ 廠商投注筆數、總投注、有效投注、總派彩、莊家優勢比率 (House Edge %)、Game Round ID、百家樂視訊回放 URL。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3. 代理與分銷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代理月結佣金帳單</w:t>
              <w:br/>
              <w:t>代理渠道轉化報表</w:t>
              <w:br/>
              <w:t>全民代理分銷明細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/bill/getBillList</w:t>
              <w:br/>
              <w:t>/agent/getAgentChannelList</w:t>
              <w:br/>
              <w:t>/agentMemberData/getMarketingReport</w:t>
              <w:br/>
              <w:t>前台 /referrals</w:t>
            </w:r>
          </w:p>
        </w:tc>
        <w:tc>
          <w:tcPr>
            <w:tcW w:type="dxa" w:w="28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代理層級、活躍會員數、RS 負盈利淨額、各場館洗碼佣金、渠道 UV、首存轉化率 (FTD %)、三級裂變下線貢獻明細。</w:t>
            </w:r>
          </w:p>
        </w:tc>
      </w:tr>
      <w:tr>
        <w:tc>
          <w:tcPr>
            <w:tcW w:type="dxa" w:w="170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4. 會員與風控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會員財務成長報表</w:t>
              <w:br/>
              <w:t>四維關聯風控圖譜</w:t>
              <w:br/>
              <w:t>玩家行為即時監控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/agentMemberData/getVipFinanceReport</w:t>
              <w:br/>
              <w:t>/vip/getVipLinkList</w:t>
              <w:br/>
              <w:t>/agentMemberData/getPlatUserMonitor</w:t>
              <w:br/>
              <w:t>/userLoginLog/getUserOnlineCount</w:t>
            </w:r>
          </w:p>
        </w:tc>
        <w:tc>
          <w:tcPr>
            <w:tcW w:type="dxa" w:w="28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VIP 等級、累計存提、帳戶貢獻值、IP 關聯群組、APP 機碼指紋 (IMEI/Canvas)、同銀行卡關聯、即時在線人數、大額注單告警。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5. 營銷與促銷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活動成效與成本報表</w:t>
              <w:br/>
              <w:t>人工紅利直發審計表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/activityConf/getActivityConfList</w:t>
              <w:br/>
              <w:t>/agentMemberData/getActivityReport</w:t>
              <w:br/>
              <w:t>/activityConf/getManualAwardRecord</w:t>
            </w:r>
          </w:p>
        </w:tc>
        <w:tc>
          <w:tcPr>
            <w:tcW w:type="dxa" w:w="28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活動名稱、派發贈金總額、引導打碼量、活動 ROI (利潤/贈金成本)、人工直發工號、審批時間、派發理由。</w:t>
            </w:r>
          </w:p>
        </w:tc>
      </w:tr>
      <w:tr>
        <w:tc>
          <w:tcPr>
            <w:tcW w:type="dxa" w:w="170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6. 安全與運維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管理員敏感操作日誌</w:t>
              <w:br/>
              <w:t>管理員登入審計表</w:t>
              <w:br/>
              <w:t>非同步大表導出隊列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/sysOperationRecord/getSysOperationRecordList</w:t>
              <w:br/>
              <w:t>/userLoginLog/getUserLoginLogList</w:t>
              <w:br/>
              <w:t>/fileUploadAndDownload/getExportList</w:t>
            </w:r>
          </w:p>
        </w:tc>
        <w:tc>
          <w:tcPr>
            <w:tcW w:type="dxa" w:w="28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操作人帳號、來源 IP、請求 API 路由、變更前後 JSON 差異對比 (Old vs New)、Google 2FA 驗證紀錄、大表導出追蹤。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A83212"/>
          <w:sz w:val="28"/>
        </w:rPr>
        <w:t>第二項：企業級必備之「日、週、月」缺漏報表體系 (12 大決策模型)</w:t>
      </w:r>
    </w:p>
    <w:p>
      <w:pPr>
        <w:spacing w:line="300" w:lineRule="auto" w:after="160"/>
      </w:pPr>
      <w:r>
        <w:rPr>
          <w:color w:val="2D3748"/>
          <w:sz w:val="20"/>
        </w:rPr>
        <w:t>現行 M9 報表主要偏向基礎記帳，但缺乏「事前預警」與「數學模型校準」。以下為引領集團走向高階治理所必須補齊的 12 張關鍵報表：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時效節奏</w:t>
            </w:r>
          </w:p>
        </w:tc>
        <w:tc>
          <w:tcPr>
            <w:tcW w:type="dxa" w:w="3118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缺漏之關鍵報表名稱</w:t>
            </w:r>
          </w:p>
        </w:tc>
        <w:tc>
          <w:tcPr>
            <w:tcW w:type="dxa" w:w="4535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核心精算公式、檢驗邏輯與管理價值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日報 (Daily)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1. 每日未結算負債與準備金平帳表</w:t>
              <w:br/>
              <w:t>(Daily Solvency &amp; Liability)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公式：準備金充足率 = (實體銀行卡資產 + 三方代付餘額) / (玩家錢包總額 + 在途未結算浮動注單) × 100%。若 &lt; 100% 立即告警，防止內部偷調帳或黑客並行重複提款。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日報 (Daily)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2. 日金流漏斗與掉單損耗分析表</w:t>
              <w:br/>
              <w:t>(Payment Funnel &amp; Drop-off)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監控：點擊充值 → 生成 PromptPay QR → 實際轉帳 → 機器人自動上分。計算各環節流失率與耗時，秒級識別泰國在地網銀維護或電信阻斷。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日報 (Daily)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3. 日對沖套利與異常打水巡檢表</w:t>
              <w:br/>
              <w:t>(Daily Arbitrage Pattern)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自動掃描：百家樂同桌莊閒對沖 (佔比 &gt; 90%)、輪盤全包 (覆蓋 &gt; 35 號碼)、Slot 幽靈積累免費轉。每日晨會產出 Top 50 處置清單。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日報 (Daily)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4. 高淨值大戶日流失與沉默預警表</w:t>
              <w:br/>
              <w:t>(VIP Churn &amp; Dormancy Alert)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追蹤 VIP 3 以上玩家單日虧損 &gt; 10 萬 THB 且餘額歸零、或 48 小時未登入者，自動派工單給專屬客服發放精準救援彩金。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週報 (Weekly)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5. 週遊戲實際 RTP 與數學偏差檢驗表</w:t>
              <w:br/>
              <w:t>(Weekly Actual RTP Drift)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比對各老虎機「理論 RTP (96.5%)」與「本週滾動實際 RTP = 派彩/有效投注」。若連續一週實際 RTP &gt; 108% (平台倒賠)，立即排查原廠漏洞或下架。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週報 (Weekly)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6. 週新客同梯次留存追蹤表</w:t>
              <w:br/>
              <w:t>(Weekly FTD Cohort Retention)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追蹤當週首存會員 (FTD) 之 D1/D3/D7 留存率與復充率。若某代理名下 D3 留存為 0%，證實為羊毛假量，立即扣發佣金。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週報 (Weekly)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7. 週 VIP 升降級動態矩陣表</w:t>
              <w:br/>
              <w:t>(Weekly VIP Migration Matrix)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統計晉級、保級、降級預警人次及階層淨貢獻值，評估玩家金字塔是「向上良性流動」還是「基底萎縮」。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週報 (Weekly)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8. 週客訴爭議與卡單熱點分析表</w:t>
              <w:br/>
              <w:t>(Weekly CS Ticket Heatmap)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分析充值未到帳、提款卡單、原廠斷線抱怨熱點，量化平均結案時長，作為與外部原廠接口供應商談判扣款的數據籌碼。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月報 (Monthly)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9. 月度真實淨利潤瀑布表</w:t>
              <w:br/>
              <w:t>(Monthly True NGR Waterfall)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公式：GGR毛利 - 原廠場館費 (8~14%) - 金流手續費 (2.5%) - 活動贈金成本 - 高防CDN與防封域名剛性支出 - 銀行卡凍結死帳 - 代理佣金 = 真實月度淨利潤。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月報 (Monthly)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10. 月度 CAC vs LTV 回本模型</w:t>
              <w:br/>
              <w:t>(CAC vs. LTV Cohort)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計算各渠道獲客成本 (CAC = 廣告費/首存人數) 與新客第 1~3 個月累計貢獻淨額 (LTV)，精確得出各投放渠道的回本天數。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月報 (Monthly)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11. 月度場館合約效益與保底產出比</w:t>
              <w:br/>
              <w:t>(Provider Efficiency Report)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統計各廠商「實際消耗抽成 / 每月最低保底費比率」。針對連續三個月未達標、白繳空轉費用的冷門場館果斷終止合約。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月報 (Monthly)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12. 月度卡池健康度與沉澱死帳審計表</w:t>
              <w:br/>
              <w:t>(Bank Pool &amp; AML Health)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統計月度採購卡片數量、平均存活天數、泰國警方凍結死帳資金總額，精確提列地下金流之「壞帳風險準備金」。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A83212"/>
          <w:sz w:val="28"/>
        </w:rPr>
        <w:t>第三項：代理分層分潤標準階梯矩陣與 5 大設定模式</w:t>
      </w:r>
    </w:p>
    <w:p>
      <w:pPr>
        <w:spacing w:line="300" w:lineRule="auto" w:after="160"/>
      </w:pPr>
      <w:r>
        <w:rPr>
          <w:color w:val="2D3748"/>
          <w:sz w:val="20"/>
        </w:rPr>
        <w:t>M9 系統底層具備強大的分銷算力，支援雙軌並行機制：後台專業團隊代理制度與前台全民三級裂變。以下為完整的階梯矩陣與 5 種分潤設定模式：</w:t>
      </w:r>
    </w:p>
    <w:p>
      <w:pPr/>
      <w:r>
        <w:rPr>
          <w:b/>
        </w:rPr>
        <w:t>3.1 傳統團隊代理：負盈利佔成階梯表 (Revenue Share, RS 模式)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代理等級</w:t>
            </w:r>
          </w:p>
        </w:tc>
        <w:tc>
          <w:tcPr>
            <w:tcW w:type="dxa" w:w="2551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當月有效活躍會員</w:t>
            </w:r>
          </w:p>
        </w:tc>
        <w:tc>
          <w:tcPr>
            <w:tcW w:type="dxa" w:w="3118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當月團隊淨虧損 (THB)</w:t>
            </w:r>
          </w:p>
        </w:tc>
        <w:tc>
          <w:tcPr>
            <w:tcW w:type="dxa" w:w="2268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負盈利分紅比例 (RS %)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Level 1 (青銅)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≥ 5 人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1 ~ 100,000</w:t>
            </w:r>
          </w:p>
        </w:tc>
        <w:tc>
          <w:tcPr>
            <w:tcW w:type="dxa" w:w="22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DE5814"/>
                <w:sz w:val="17"/>
              </w:rPr>
              <w:t>30%</w:t>
            </w:r>
          </w:p>
        </w:tc>
      </w:tr>
      <w:tr>
        <w:tc>
          <w:tcPr>
            <w:tcW w:type="dxa" w:w="170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Level 2 (白銀)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≥ 15 人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100,001 ~ 300,000</w:t>
            </w:r>
          </w:p>
        </w:tc>
        <w:tc>
          <w:tcPr>
            <w:tcW w:type="dxa" w:w="22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DE5814"/>
                <w:sz w:val="17"/>
              </w:rPr>
              <w:t>35%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Level 3 (黃金)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≥ 30 人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300,001 ~ 800,000</w:t>
            </w:r>
          </w:p>
        </w:tc>
        <w:tc>
          <w:tcPr>
            <w:tcW w:type="dxa" w:w="22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DE5814"/>
                <w:sz w:val="17"/>
              </w:rPr>
              <w:t>40%</w:t>
            </w:r>
          </w:p>
        </w:tc>
      </w:tr>
      <w:tr>
        <w:tc>
          <w:tcPr>
            <w:tcW w:type="dxa" w:w="170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Level 4 (鑽石)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≥ 50 人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800,001 ~ 2,000,000</w:t>
            </w:r>
          </w:p>
        </w:tc>
        <w:tc>
          <w:tcPr>
            <w:tcW w:type="dxa" w:w="22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DE5814"/>
                <w:sz w:val="17"/>
              </w:rPr>
              <w:t>45%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Level 5 (總代/股東)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≥ 100 人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2,000,001 以上</w:t>
            </w:r>
          </w:p>
        </w:tc>
        <w:tc>
          <w:tcPr>
            <w:tcW w:type="dxa" w:w="22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DE5814"/>
                <w:sz w:val="17"/>
              </w:rPr>
              <w:t>50% ~ 55%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b/>
        </w:rPr>
        <w:t>3.2 系統 5 大主流代理分潤設定方式對照表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分潤設定模式</w:t>
            </w:r>
          </w:p>
        </w:tc>
        <w:tc>
          <w:tcPr>
            <w:tcW w:type="dxa" w:w="2835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核心計算公式與運作邏輯</w:t>
            </w:r>
          </w:p>
        </w:tc>
        <w:tc>
          <w:tcPr>
            <w:tcW w:type="dxa" w:w="2551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代理承擔風險與獲利特點</w:t>
            </w:r>
          </w:p>
        </w:tc>
        <w:tc>
          <w:tcPr>
            <w:tcW w:type="dxa" w:w="2268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最佳適用推廣對象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1. 負盈利佔成</w:t>
              <w:br/>
              <w:t>(Revenue Share)</w:t>
            </w:r>
          </w:p>
        </w:tc>
        <w:tc>
          <w:tcPr>
            <w:tcW w:type="dxa" w:w="28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佣金 = (玩家總虧損 - 場館費 - 金流費 - 贈金) × 階梯比例 (30%~55%)。支援月度虧損歸零或累計結轉。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風險高 (玩家贏錢無佣金甚至負滾存)；爆發力最強，利潤天花板最高。</w:t>
            </w:r>
          </w:p>
        </w:tc>
        <w:tc>
          <w:tcPr>
            <w:tcW w:type="dxa" w:w="22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線下核心大團隊長、掌握高客單鯨魚大戶之代理商。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2. 有效洗碼抽成</w:t>
              <w:br/>
              <w:t>(Turnover 抽水)</w:t>
            </w:r>
          </w:p>
        </w:tc>
        <w:tc>
          <w:tcPr>
            <w:tcW w:type="dxa" w:w="28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垂直場館抽水：電子 1.0~1.5%、捕魚 1.0~1.2%、真人 0.6~0.9%、斗雞 0.8~1.0%、體育 0.4~0.6%。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零風險 (只要玩家下注就有錢，不論輸贏)；細水長流，平台需嚴防打水。</w:t>
            </w:r>
          </w:p>
        </w:tc>
        <w:tc>
          <w:tcPr>
            <w:tcW w:type="dxa" w:w="22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地推小型工作室、百家樂/體育實況帶玩群主。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3. 混合型模式</w:t>
              <w:br/>
              <w:t>(Hybrid CPA+RS)</w:t>
            </w:r>
          </w:p>
        </w:tc>
        <w:tc>
          <w:tcPr>
            <w:tcW w:type="dxa" w:w="28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佣金 = (合格首存人數 × CPA單價 200~500 THB) + (團隊淨負盈利 × 較低 RS 15%~25%)。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低風險 (前期有買量保底補貼，後期享有分潤分紅)；回血快。</w:t>
            </w:r>
          </w:p>
        </w:tc>
        <w:tc>
          <w:tcPr>
            <w:tcW w:type="dxa" w:w="22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專業廣告買量團隊 (FB/TikTok/Google 代投)、KOL 網紅業配。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4. 級差抽成架構</w:t>
              <w:br/>
              <w:t>(Overriding Spread)</w:t>
            </w:r>
          </w:p>
        </w:tc>
        <w:tc>
          <w:tcPr>
            <w:tcW w:type="dxa" w:w="28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上級賺取「層級差額」：例如總代 50%，一級代理 35%，總代直接抽取 15% 差額佣金。</w:t>
            </w:r>
          </w:p>
        </w:tc>
        <w:tc>
          <w:tcPr>
            <w:tcW w:type="dxa" w:w="2551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被動躺賺 (下線團隊越多，級差被動收益越大)；由系統自動分流拆帳。</w:t>
            </w:r>
          </w:p>
        </w:tc>
        <w:tc>
          <w:tcPr>
            <w:tcW w:type="dxa" w:w="22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多層級公會、區域總代理、裂變型大渠道商。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7"/>
              </w:rPr>
              <w:t>5. 全民三級分銷</w:t>
              <w:br/>
              <w:t>(Referral MLM)</w:t>
            </w:r>
          </w:p>
        </w:tc>
        <w:tc>
          <w:tcPr>
            <w:tcW w:type="dxa" w:w="28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前台直發三級流水：第一層好友 0.4%、第二層好友 0.2%、第三層好友 0.1%。每日凌晨自動入錢包。</w:t>
            </w:r>
          </w:p>
        </w:tc>
        <w:tc>
          <w:tcPr>
            <w:tcW w:type="dxa" w:w="2551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零門檻、零風險；人人皆為代理，自動生成二維碼海報自發分享。</w:t>
            </w:r>
          </w:p>
        </w:tc>
        <w:tc>
          <w:tcPr>
            <w:tcW w:type="dxa" w:w="22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7"/>
              </w:rPr>
              <w:t>前台自然玩家社群口碑裂變、降低公域買量成本。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代理體系防套利稽核規則</w:t>
              <w:br/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【後台四條剛性風控紅線 (Risk Control Rules)】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1. 同 IP / 設備互刷剔除：代理與下線若出現硬體指紋 (IMEI/MAC) 或 IP 重疊，系統自動剔除該玩家之流水與人頭計入。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2. 對沖無效化過濾：體育雙邊盤口 (大/小) 或百家樂 (莊/閒) 同時下注者，標記為 Invalid Turnover，直接扣減佣金計算。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3. 最低提款與活躍人頭底線：每月最少滿足 5 位真實活躍玩家且佣金滿 1,000 THB 方得請款，防範幽靈代理拉自己單刷。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4. 差額提成防倒掛機制：下級比例嚴禁高於上級比例，系統自動阻斷越級設定，確保平台總佣金支出不穿倉。</w:t>
            </w:r>
          </w:p>
        </w:tc>
      </w:tr>
    </w:tbl>
    <w:p>
      <w:pPr>
        <w:spacing w:after="120"/>
      </w:pPr>
    </w:p>
    <w:p>
      <w:pPr>
        <w:spacing w:before="320"/>
        <w:jc w:val="right"/>
      </w:pPr>
      <w:r>
        <w:rPr>
          <w:b/>
          <w:color w:val="A83212"/>
          <w:sz w:val="22"/>
        </w:rPr>
        <w:t>Howard Liao Ph.D. (廖倫豪 博士)</w:t>
        <w:br/>
      </w:r>
      <w:r>
        <w:rPr>
          <w:color w:val="94A3B8"/>
          <w:sz w:val="18"/>
        </w:rPr>
        <w:t>上市櫃數位科技與娛樂集團 資訊長 (CIO/CISO/CDAIO)</w:t>
        <w:br/>
        <w:t>盛欣網絡 副總經理</w:t>
        <w:br/>
        <w:t>2026 年 9 月 寫於 台北研究室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Howard Liao Ph.D. (廖倫豪 博士) — 台北研究室 | 機密技術資產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M9 / KOOBET 娛樂城營運報表全景、日週月指標缺漏與代理分潤全體系規格書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