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DE5814"/>
          <w:sz w:val="20"/>
        </w:rPr>
        <w:t>專案戰略評估與合作決策說明 (Project Strategic Decision Letter)</w:t>
      </w:r>
    </w:p>
    <w:p>
      <w:pPr>
        <w:spacing w:before="40" w:after="120"/>
      </w:pPr>
      <w:r>
        <w:rPr>
          <w:b/>
          <w:color w:val="A83212"/>
          <w:sz w:val="42"/>
        </w:rPr>
        <w:t>關於 M9 專案之市場前景評估、客觀難點與暫停推進說明</w:t>
      </w:r>
    </w:p>
    <w:p>
      <w:pPr>
        <w:spacing w:after="280" w:line="288" w:lineRule="auto"/>
      </w:pPr>
      <w:r>
        <w:rPr>
          <w:color w:val="2D3748"/>
          <w:sz w:val="19"/>
        </w:rPr>
        <w:t>致：Leo、Ben 先生 台鑒</w:t>
        <w:br/>
        <w:t>撰寫人：Howard Liao Ph.D. (廖倫豪 博士)</w:t>
        <w:br/>
        <w:t>代表單位：盛欣網絡 (Shenxin Network) / 上市櫃科技娛樂集團 (6542.TWO)</w:t>
        <w:br/>
        <w:t>日期：2026 年 9 月 | 文件編號：DEC-202609-M9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28" w:space="0" w:color="DE5814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DE5814"/>
                <w:sz w:val="22"/>
              </w:rPr>
              <w:t>★ 溝通旨要：先敬才華、再陳難點、長存情義</w:t>
              <w:br/>
            </w:r>
          </w:p>
          <w:p>
            <w:pPr>
              <w:spacing w:before="40" w:after="40" w:line="300" w:lineRule="auto"/>
            </w:pPr>
            <w:r>
              <w:rPr>
                <w:color w:val="2D3748"/>
                <w:sz w:val="19"/>
              </w:rPr>
              <w:t>「生意的本質是審時度勢，行穩方能致遠。」</w:t>
            </w:r>
          </w:p>
          <w:p>
            <w:pPr>
              <w:spacing w:before="40" w:after="40" w:line="300" w:lineRule="auto"/>
            </w:pPr>
            <w:r>
              <w:rPr>
                <w:color w:val="2D3748"/>
                <w:sz w:val="19"/>
              </w:rPr>
              <w:t>本文件秉持技術兄弟的誠信與情義，首先高度肯定 Leo 與 Ben 團隊在 M9 系統上展現的非凡產品實力；</w:t>
            </w:r>
          </w:p>
          <w:p>
            <w:pPr>
              <w:spacing w:before="40" w:after="40" w:line="300" w:lineRule="auto"/>
            </w:pPr>
            <w:r>
              <w:rPr>
                <w:color w:val="2D3748"/>
                <w:sz w:val="19"/>
              </w:rPr>
              <w:t>隨後坦誠剖析當前總體市場環境的不樂觀趨勢，以及我司受限於上市櫃防禦性戰略與資金配置之核心難點，向兩位誠懇說明暫停本專案推進的深層考量。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A83212"/>
          <w:sz w:val="28"/>
        </w:rPr>
        <w:t>一、 敬佩與讚許：M9 系統卓越的產品競爭力</w:t>
      </w:r>
    </w:p>
    <w:p>
      <w:pPr>
        <w:spacing w:line="300" w:lineRule="auto" w:after="160"/>
      </w:pPr>
      <w:r>
        <w:rPr>
          <w:color w:val="2D3748"/>
          <w:sz w:val="20"/>
        </w:rPr>
        <w:t>Leo、Ben，首先我和技術團隊必須發自內心地向兩位致敬。在我們花費大量時間、深入拆解了 M9 系統的 370 個代碼模組與 220+ API 之後，我們深刻體會到這套產品背後凝聚的強大實力。這絕對是目前東南亞市場上一流梯隊的成熟產品：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產品核心亮點</w:t>
            </w:r>
          </w:p>
        </w:tc>
        <w:tc>
          <w:tcPr>
            <w:tcW w:type="dxa" w:w="7087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卓越技術表現與用戶體驗</w:t>
            </w:r>
          </w:p>
        </w:tc>
      </w:tr>
      <w:tr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單一免轉錢包中台</w:t>
              <w:br/>
              <w:t>(Seamless Wallet)</w:t>
            </w:r>
          </w:p>
        </w:tc>
        <w:tc>
          <w:tcPr>
            <w:tcW w:type="dxa" w:w="70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無縫聚合 20+ 國際頂級場館（PG, EVO, JILI 等），毫秒級 Server-to-Server 劃扣，徹底消除了玩家手動轉帳的摩擦，流暢度在業界屈指可數。</w:t>
            </w:r>
          </w:p>
        </w:tc>
      </w:tr>
      <w:tr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Doudou 極速清算機器人</w:t>
              <w:br/>
              <w:t>(Clearing Automation)</w:t>
            </w:r>
          </w:p>
        </w:tc>
        <w:tc>
          <w:tcPr>
            <w:tcW w:type="dxa" w:w="7087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針對泰國在地的 PromptPay QR 掃碼與網銀掛機監聽，真正實現了『3 秒自動上分與代付』，精準切中了海外金流最核心的痛點。</w:t>
            </w:r>
          </w:p>
        </w:tc>
      </w:tr>
      <w:tr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四維關聯風控引擎</w:t>
              <w:br/>
              <w:t>(DataRisk Engine)</w:t>
            </w:r>
          </w:p>
        </w:tc>
        <w:tc>
          <w:tcPr>
            <w:tcW w:type="dxa" w:w="70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秒級聚合 IP、APP 設備機碼指紋、卡號與帳號圖譜，能強悍阻斷黑產多開與對沖套利，展現了極高的抗風險實戰智慧。</w:t>
            </w:r>
          </w:p>
        </w:tc>
      </w:tr>
      <w:tr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電競深色高質感大廳</w:t>
              <w:br/>
              <w:t>(Template M21)</w:t>
            </w:r>
          </w:p>
        </w:tc>
        <w:tc>
          <w:tcPr>
            <w:tcW w:type="dxa" w:w="7087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前端響應式排版（RWD）精緻細膩，音效、動效與 VIP 福利體系黏著度高，產品完成度與商業包裝皆屬上乘。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A83212"/>
          <w:sz w:val="28"/>
        </w:rPr>
        <w:t>二、 坦誠剖析：總體市場前景之「不樂觀」考量</w:t>
      </w:r>
    </w:p>
    <w:p>
      <w:pPr>
        <w:spacing w:line="300" w:lineRule="auto" w:after="160"/>
      </w:pPr>
      <w:r>
        <w:rPr>
          <w:color w:val="2D3748"/>
          <w:sz w:val="20"/>
        </w:rPr>
        <w:t>然而，評估一個商業專案，除了看產品本身的鋒利度，更必須檢視外部戰場的氣候。我和內部經營智囊在綜合研判當前大環境後，對此賽道未來的市場前景抱持『相當謹慎且不樂觀』的預期：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28" w:space="0" w:color="DE5814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DE5814"/>
                <w:sz w:val="22"/>
              </w:rPr>
              <w:t>★ 市場客觀宏觀環境三大警訊 (Macro Market Headwinds)</w:t>
              <w:br/>
            </w:r>
          </w:p>
          <w:p>
            <w:pPr>
              <w:spacing w:before="40" w:after="40" w:line="300" w:lineRule="auto"/>
            </w:pPr>
            <w:r>
              <w:rPr>
                <w:color w:val="2D3748"/>
                <w:sz w:val="19"/>
              </w:rPr>
              <w:t>1. 海外政策與監管風暴加劇：以泰國、越南為首的東南亞市場，近期電信當局（NBTC）大規模封鎖域名，央行對網銀大額轉帳與人頭卡（PromptPay）之風控查緝上升至國家級安全維度，通道不確定性倍增。</w:t>
            </w:r>
          </w:p>
          <w:p>
            <w:pPr>
              <w:spacing w:before="40" w:after="40" w:line="300" w:lineRule="auto"/>
            </w:pPr>
            <w:r>
              <w:rPr>
                <w:color w:val="2D3748"/>
                <w:sz w:val="19"/>
              </w:rPr>
              <w:t>2. 獲客成本 (CAC) 與剛性支出急遽攀升：流量紅利見頂，買量單價大漲；加之高防 CDN、抗 DDoS 盾、防封域名跳轉池與高額場館保底抽成，實際毛利率已被嚴重擠壓。</w:t>
            </w:r>
          </w:p>
          <w:p>
            <w:pPr>
              <w:spacing w:before="40" w:after="40" w:line="300" w:lineRule="auto"/>
            </w:pPr>
            <w:r>
              <w:rPr>
                <w:color w:val="2D3748"/>
                <w:sz w:val="19"/>
              </w:rPr>
              <w:t>3. 資金沉澱與死帳壞帳風險激增：在地地下網銀頻繁遭遇跨國執法凍結，卡池沉澱保證金受損風險極高，在總體經濟下行期，任何一筆大額資金凍結都可能直接侵蝕全年的辛苦利潤。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A83212"/>
          <w:sz w:val="28"/>
        </w:rPr>
        <w:t>三、 體制現實：我司當前身處的難點與戰略約束</w:t>
      </w:r>
    </w:p>
    <w:p>
      <w:pPr>
        <w:spacing w:line="300" w:lineRule="auto" w:after="160"/>
      </w:pPr>
      <w:r>
        <w:rPr>
          <w:color w:val="2D3748"/>
          <w:sz w:val="20"/>
        </w:rPr>
        <w:t>除了外部市場逆風，回到我司自身，我們目前背負著無法迴避的體制枷鎖與資源配置要求：</w:t>
        <w:br/>
        <w:br/>
        <w:t>1. 上市櫃集團防禦性資本政策：當前總體景氣低迷，集團董事會與審計委員會已制定明確的戰略導向——『穩健防禦、收縮戰線、留存現金流』，明令暫停一切高波動、外部不確定性高的新賽道重資產投入。</w:t>
        <w:br/>
        <w:br/>
        <w:t>2. 嚴格的公司治理與穿透式審計約束：身為集團高管與上市公司資訊長，名下背負著金管會、獨立董事與國際四大會計師事務所的實質審查責任。在當前國際反洗錢（AML）合規要求下，我們無法在體制內為此類外部金流提供庇護與資源對接。</w:t>
        <w:br/>
        <w:br/>
        <w:t>3. 現有核心綠色業務之專注度要求：盛欣網絡當前正全力推進《鬥陣江湖》休閒房卡棋牌的生態深耕，研發與推廣團隊必須聚焦於合規的房卡批銷二元制衡模式，精力無法分神於跨國高風險戰場。</w:t>
      </w:r>
    </w:p>
    <w:p>
      <w:pPr>
        <w:spacing w:before="280" w:after="120"/>
      </w:pPr>
      <w:r>
        <w:rPr>
          <w:b/>
          <w:color w:val="A83212"/>
          <w:sz w:val="28"/>
        </w:rPr>
        <w:t>四、 誠懇決策：暫停專案推進，長存技術情誼</w:t>
      </w:r>
    </w:p>
    <w:p>
      <w:pPr>
        <w:spacing w:line="300" w:lineRule="auto" w:after="160"/>
      </w:pPr>
      <w:r>
        <w:rPr>
          <w:color w:val="2D3748"/>
          <w:sz w:val="20"/>
        </w:rPr>
        <w:t>基於上述『外部市場前景之不樂觀』與『我司體制資源配置之客觀難點』，經過經營層慎重討論，我們決定：暫停本專案目前階段的推進與落地。</w:t>
        <w:br/>
        <w:br/>
        <w:t>我想向 Leo 和 Ben 鄭重說明：這個暫停決定，絕非因 貴團隊的產品有任何瑕疵——恰恰相反，你們的系統在工程架構上無可挑剔。這個抉擇，純粹是我司在面對總體逆風時，不得不做出的防禦性戰略取捨。</w:t>
        <w:br/>
        <w:br/>
        <w:t>商場風雲變幻，有時『懂得踩煞車、看清時局』是比盲目衝刺更負責任的成熟作為。生意有起伏，但兄弟間的敬意與情義不變。未來如果海外市場氣候回暖，或是兩位決定將底層的高併發網關、圖關聯風控等核心技術解耦轉向合規 B2B 數位科技賽道，我 Howard 隨時在台北歡迎兩位，我們隨時重啟交流、並肩作戰！</w:t>
        <w:br/>
        <w:br/>
        <w:t>祝願 兩位好兄弟：團隊安穩、運籌帷幄、事業長青！</w:t>
      </w:r>
    </w:p>
    <w:p>
      <w:pPr>
        <w:spacing w:before="360"/>
        <w:jc w:val="right"/>
      </w:pPr>
      <w:r>
        <w:rPr>
          <w:b/>
          <w:color w:val="A83212"/>
          <w:sz w:val="22"/>
        </w:rPr>
        <w:t>Howard Liao Ph.D. (廖倫豪 博士)</w:t>
        <w:br/>
      </w:r>
      <w:r>
        <w:rPr>
          <w:color w:val="94A3B8"/>
          <w:sz w:val="18"/>
        </w:rPr>
        <w:t>盛欣網絡 副總經理</w:t>
        <w:br/>
        <w:t>上市櫃數位科技與娛樂集團 資訊長 (CIO/CISO/CDAIO)</w:t>
        <w:br/>
        <w:t>2026 年 9 月 敬筆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Howard Liao Ph.D. (廖倫豪 博士) — 台北研究室 | 誠信與長遠情義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商業合作評估報告與專案決策函 | 機密溝通文件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